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270B" w14:textId="423A0A1F" w:rsidR="006B6D8C" w:rsidRDefault="006B6D8C">
      <w:pPr>
        <w:rPr>
          <w:rFonts w:ascii="Aptos" w:hAnsi="Aptos" w:cs="Arial"/>
          <w:b/>
          <w:bCs/>
          <w:u w:val="single"/>
          <w:lang w:val="en-US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57626EA" wp14:editId="7623AC24">
            <wp:simplePos x="0" y="0"/>
            <wp:positionH relativeFrom="column">
              <wp:posOffset>-914400</wp:posOffset>
            </wp:positionH>
            <wp:positionV relativeFrom="paragraph">
              <wp:posOffset>-1260412</wp:posOffset>
            </wp:positionV>
            <wp:extent cx="7543800" cy="10668675"/>
            <wp:effectExtent l="0" t="0" r="0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/>
          <w:bCs/>
          <w:u w:val="single"/>
          <w:lang w:val="en-US"/>
        </w:rPr>
        <w:br w:type="page"/>
      </w:r>
    </w:p>
    <w:p w14:paraId="47C490F8" w14:textId="061249CD" w:rsidR="00011390" w:rsidRPr="008D7122" w:rsidRDefault="001F7791" w:rsidP="00EC7A60">
      <w:pPr>
        <w:rPr>
          <w:rFonts w:ascii="Aptos" w:hAnsi="Aptos" w:cs="Arial"/>
          <w:b/>
          <w:bCs/>
          <w:u w:val="single"/>
          <w:lang w:val="en-US"/>
        </w:rPr>
      </w:pPr>
      <w:r w:rsidRPr="008D7122">
        <w:rPr>
          <w:rFonts w:ascii="Aptos" w:hAnsi="Aptos" w:cs="Arial"/>
          <w:b/>
          <w:bCs/>
          <w:u w:val="single"/>
          <w:lang w:val="en-US"/>
        </w:rPr>
        <w:lastRenderedPageBreak/>
        <w:t>CICV Best Practice Guide Practice Note 3: Contract Amendments</w:t>
      </w:r>
    </w:p>
    <w:p w14:paraId="31CF978A" w14:textId="77777777" w:rsidR="003B4AAF" w:rsidRPr="00DB6842" w:rsidRDefault="003B4AAF" w:rsidP="00EC7A60">
      <w:pPr>
        <w:rPr>
          <w:rFonts w:ascii="Aptos" w:hAnsi="Aptos" w:cs="Arial"/>
          <w:b/>
          <w:bCs/>
          <w:lang w:val="en-US"/>
        </w:rPr>
      </w:pPr>
    </w:p>
    <w:p w14:paraId="6D5D1533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Introduction</w:t>
      </w:r>
    </w:p>
    <w:p w14:paraId="27032609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Contract amendments continue to be a major issue in the construction industry, often shifting risk disproportionately onto contractors and subcontractors. This Practice Note aims to highlight </w:t>
      </w:r>
      <w:r w:rsidRPr="00DB6842">
        <w:rPr>
          <w:rFonts w:ascii="Aptos" w:hAnsi="Aptos" w:cs="Arial"/>
          <w:b/>
          <w:bCs/>
        </w:rPr>
        <w:t>key contractual risks</w:t>
      </w:r>
      <w:r w:rsidRPr="00DB6842">
        <w:rPr>
          <w:rFonts w:ascii="Aptos" w:hAnsi="Aptos" w:cs="Arial"/>
        </w:rPr>
        <w:t xml:space="preserve">, explain why </w:t>
      </w:r>
      <w:r w:rsidRPr="00DB6842">
        <w:rPr>
          <w:rFonts w:ascii="Aptos" w:hAnsi="Aptos" w:cs="Arial"/>
          <w:b/>
          <w:bCs/>
        </w:rPr>
        <w:t>early contract review is essential</w:t>
      </w:r>
      <w:r w:rsidRPr="00DB6842">
        <w:rPr>
          <w:rFonts w:ascii="Aptos" w:hAnsi="Aptos" w:cs="Arial"/>
        </w:rPr>
        <w:t xml:space="preserve">, and provide </w:t>
      </w:r>
      <w:r w:rsidRPr="00DB6842">
        <w:rPr>
          <w:rFonts w:ascii="Aptos" w:hAnsi="Aptos" w:cs="Arial"/>
          <w:b/>
          <w:bCs/>
        </w:rPr>
        <w:t>guidance on managing amendments effectively</w:t>
      </w:r>
      <w:r w:rsidRPr="00DB6842">
        <w:rPr>
          <w:rFonts w:ascii="Aptos" w:hAnsi="Aptos" w:cs="Arial"/>
        </w:rPr>
        <w:t>.</w:t>
      </w:r>
    </w:p>
    <w:p w14:paraId="3ED6FF50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For those new to the </w:t>
      </w:r>
      <w:r w:rsidRPr="00DB6842">
        <w:rPr>
          <w:rFonts w:ascii="Aptos" w:hAnsi="Aptos" w:cs="Arial"/>
          <w:b/>
          <w:bCs/>
        </w:rPr>
        <w:t>CICV Best Practice Guide (BPG)</w:t>
      </w:r>
      <w:r w:rsidRPr="00DB6842">
        <w:rPr>
          <w:rFonts w:ascii="Aptos" w:hAnsi="Aptos" w:cs="Arial"/>
        </w:rPr>
        <w:t xml:space="preserve">, we strongly recommend reviewing its </w:t>
      </w:r>
      <w:r w:rsidRPr="00DB6842">
        <w:rPr>
          <w:rFonts w:ascii="Aptos" w:hAnsi="Aptos" w:cs="Arial"/>
          <w:b/>
          <w:bCs/>
        </w:rPr>
        <w:t>contractual and commercial management recommendations</w:t>
      </w:r>
      <w:r w:rsidRPr="00DB6842">
        <w:rPr>
          <w:rFonts w:ascii="Aptos" w:hAnsi="Aptos" w:cs="Arial"/>
        </w:rPr>
        <w:t xml:space="preserve"> to reduce disputes and improve cash flow stability.</w:t>
      </w:r>
    </w:p>
    <w:p w14:paraId="590D63F2" w14:textId="77777777" w:rsidR="003B4AAF" w:rsidRPr="00DB6842" w:rsidRDefault="001B46DA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pict w14:anchorId="4A4642B7">
          <v:rect id="_x0000_i1025" style="width:468pt;height:1.2pt" o:hrstd="t" o:hr="t" fillcolor="#a0a0a0" stroked="f"/>
        </w:pict>
      </w:r>
    </w:p>
    <w:p w14:paraId="71C02A7B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1. Why Early Contract Review Matters</w:t>
      </w:r>
    </w:p>
    <w:p w14:paraId="742A9C47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Many contractors fail to review contracts until it is too late. A common scenario is when a contractor </w:t>
      </w:r>
      <w:r w:rsidRPr="00DB6842">
        <w:rPr>
          <w:rFonts w:ascii="Aptos" w:hAnsi="Aptos" w:cs="Arial"/>
          <w:b/>
          <w:bCs/>
        </w:rPr>
        <w:t>only seeks a contract review the day before work starts</w:t>
      </w:r>
      <w:r w:rsidRPr="00DB6842">
        <w:rPr>
          <w:rFonts w:ascii="Aptos" w:hAnsi="Aptos" w:cs="Arial"/>
        </w:rPr>
        <w:t xml:space="preserve">—by then, </w:t>
      </w:r>
      <w:r w:rsidRPr="00DB6842">
        <w:rPr>
          <w:rFonts w:ascii="Aptos" w:hAnsi="Aptos" w:cs="Arial"/>
          <w:b/>
          <w:bCs/>
        </w:rPr>
        <w:t>it’s too late</w:t>
      </w:r>
      <w:r w:rsidRPr="00DB6842">
        <w:rPr>
          <w:rFonts w:ascii="Aptos" w:hAnsi="Aptos" w:cs="Arial"/>
        </w:rPr>
        <w:t xml:space="preserve"> to renegotiate.</w:t>
      </w:r>
    </w:p>
    <w:p w14:paraId="21BA49B4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Review the contract at the tender stage</w:t>
      </w:r>
      <w:r w:rsidRPr="00DB6842">
        <w:rPr>
          <w:rFonts w:ascii="Aptos" w:hAnsi="Aptos" w:cs="Arial"/>
        </w:rPr>
        <w:t xml:space="preserve"> to identify risks early.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If amendments are unreasonable, negotiate or price the risk accordingly.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If the contract terms are unacceptable and non-negotiable, be prepared to walk away.</w:t>
      </w:r>
    </w:p>
    <w:p w14:paraId="02AA4640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Tip:</w:t>
      </w:r>
      <w:r w:rsidRPr="00DB6842">
        <w:rPr>
          <w:rFonts w:ascii="Aptos" w:hAnsi="Aptos" w:cs="Arial"/>
        </w:rPr>
        <w:t xml:space="preserve"> Some industry bodies, such as the </w:t>
      </w:r>
      <w:r w:rsidRPr="00DB6842">
        <w:rPr>
          <w:rFonts w:ascii="Aptos" w:hAnsi="Aptos" w:cs="Arial"/>
          <w:b/>
          <w:bCs/>
        </w:rPr>
        <w:t>Finishes and Interiors Sector (FIS)</w:t>
      </w:r>
      <w:r w:rsidRPr="00DB6842">
        <w:rPr>
          <w:rFonts w:ascii="Aptos" w:hAnsi="Aptos" w:cs="Arial"/>
        </w:rPr>
        <w:t xml:space="preserve">, offer </w:t>
      </w:r>
      <w:r w:rsidRPr="00DB6842">
        <w:rPr>
          <w:rFonts w:ascii="Aptos" w:hAnsi="Aptos" w:cs="Arial"/>
          <w:b/>
          <w:bCs/>
        </w:rPr>
        <w:t>Contract Review Services</w:t>
      </w:r>
      <w:r w:rsidRPr="00DB6842">
        <w:rPr>
          <w:rFonts w:ascii="Aptos" w:hAnsi="Aptos" w:cs="Arial"/>
        </w:rPr>
        <w:t xml:space="preserve"> to help members identify high-risk clauses before signing.</w:t>
      </w:r>
    </w:p>
    <w:p w14:paraId="5955C024" w14:textId="77777777" w:rsidR="003B4AAF" w:rsidRPr="00DB6842" w:rsidRDefault="001B46DA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pict w14:anchorId="047A55AE">
          <v:rect id="_x0000_i1026" style="width:468pt;height:1.2pt" o:hrstd="t" o:hr="t" fillcolor="#a0a0a0" stroked="f"/>
        </w:pict>
      </w:r>
    </w:p>
    <w:p w14:paraId="49B91C71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2. Common Risk Areas in Contract Amendments</w:t>
      </w:r>
    </w:p>
    <w:p w14:paraId="5D84F317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Below are </w:t>
      </w:r>
      <w:r w:rsidRPr="00DB6842">
        <w:rPr>
          <w:rFonts w:ascii="Aptos" w:hAnsi="Aptos" w:cs="Arial"/>
          <w:b/>
          <w:bCs/>
        </w:rPr>
        <w:t>some of the most problematic contract amendments</w:t>
      </w:r>
      <w:r w:rsidRPr="00DB6842">
        <w:rPr>
          <w:rFonts w:ascii="Aptos" w:hAnsi="Aptos" w:cs="Arial"/>
        </w:rPr>
        <w:t xml:space="preserve"> contractors should watch for:</w:t>
      </w:r>
    </w:p>
    <w:p w14:paraId="506EA39A" w14:textId="77777777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Payment Terms</w:t>
      </w:r>
    </w:p>
    <w:p w14:paraId="0B189185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lastRenderedPageBreak/>
        <w:t xml:space="preserve">Amendments that </w:t>
      </w:r>
      <w:r w:rsidRPr="00DB6842">
        <w:rPr>
          <w:rFonts w:ascii="Aptos" w:hAnsi="Aptos" w:cs="Arial"/>
          <w:b/>
          <w:bCs/>
        </w:rPr>
        <w:t>delay payments beyond standard terms</w:t>
      </w:r>
      <w:r w:rsidRPr="00DB6842">
        <w:rPr>
          <w:rFonts w:ascii="Aptos" w:hAnsi="Aptos" w:cs="Arial"/>
        </w:rPr>
        <w:t>.</w:t>
      </w:r>
    </w:p>
    <w:p w14:paraId="706F4C6C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Retention clauses that </w:t>
      </w:r>
      <w:r w:rsidRPr="00DB6842">
        <w:rPr>
          <w:rFonts w:ascii="Aptos" w:hAnsi="Aptos" w:cs="Arial"/>
          <w:b/>
          <w:bCs/>
        </w:rPr>
        <w:t>extend payment periods or increase retention percentages</w:t>
      </w:r>
      <w:r w:rsidRPr="00DB6842">
        <w:rPr>
          <w:rFonts w:ascii="Aptos" w:hAnsi="Aptos" w:cs="Arial"/>
        </w:rPr>
        <w:t>.</w:t>
      </w:r>
    </w:p>
    <w:p w14:paraId="46B91898" w14:textId="77777777" w:rsidR="00E04EBA" w:rsidRPr="00DB6842" w:rsidRDefault="00E04EBA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41DC9F30" w14:textId="05A93093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Notice Provisions</w:t>
      </w:r>
    </w:p>
    <w:p w14:paraId="2171372B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Onerous </w:t>
      </w:r>
      <w:r w:rsidRPr="00DB6842">
        <w:rPr>
          <w:rFonts w:ascii="Aptos" w:hAnsi="Aptos" w:cs="Arial"/>
          <w:b/>
          <w:bCs/>
        </w:rPr>
        <w:t>"time-bar" clauses</w:t>
      </w:r>
      <w:r w:rsidRPr="00DB6842">
        <w:rPr>
          <w:rFonts w:ascii="Aptos" w:hAnsi="Aptos" w:cs="Arial"/>
        </w:rPr>
        <w:t xml:space="preserve"> requiring notification of delays </w:t>
      </w:r>
      <w:r w:rsidRPr="00DB6842">
        <w:rPr>
          <w:rFonts w:ascii="Aptos" w:hAnsi="Aptos" w:cs="Arial"/>
          <w:b/>
          <w:bCs/>
        </w:rPr>
        <w:t>within a very short timeframe</w:t>
      </w:r>
      <w:r w:rsidRPr="00DB6842">
        <w:rPr>
          <w:rFonts w:ascii="Aptos" w:hAnsi="Aptos" w:cs="Arial"/>
        </w:rPr>
        <w:t xml:space="preserve"> (e.g., 2-7 days).</w:t>
      </w:r>
    </w:p>
    <w:p w14:paraId="61C5A6CB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Strict notice requirements</w:t>
      </w:r>
      <w:r w:rsidRPr="00DB6842">
        <w:rPr>
          <w:rFonts w:ascii="Aptos" w:hAnsi="Aptos" w:cs="Arial"/>
        </w:rPr>
        <w:t xml:space="preserve"> for submitting claims—refer to </w:t>
      </w:r>
      <w:r w:rsidRPr="00DB6842">
        <w:rPr>
          <w:rFonts w:ascii="Aptos" w:hAnsi="Aptos" w:cs="Arial"/>
          <w:b/>
          <w:bCs/>
        </w:rPr>
        <w:t>Practice Note 1 (PN1) on Notices</w:t>
      </w:r>
      <w:r w:rsidRPr="00DB6842">
        <w:rPr>
          <w:rFonts w:ascii="Aptos" w:hAnsi="Aptos" w:cs="Arial"/>
        </w:rPr>
        <w:t xml:space="preserve"> for details.</w:t>
      </w:r>
    </w:p>
    <w:p w14:paraId="59A16736" w14:textId="77777777" w:rsidR="00E04EBA" w:rsidRPr="00DB6842" w:rsidRDefault="00E04EBA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22ABD655" w14:textId="45F16AF7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Liquidated &amp; Ascertained Damages (LADs)</w:t>
      </w:r>
    </w:p>
    <w:p w14:paraId="49447DAD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LAD amounts that are </w:t>
      </w:r>
      <w:r w:rsidRPr="00DB6842">
        <w:rPr>
          <w:rFonts w:ascii="Aptos" w:hAnsi="Aptos" w:cs="Arial"/>
          <w:b/>
          <w:bCs/>
        </w:rPr>
        <w:t>disproportionate to the subcontract value</w:t>
      </w:r>
      <w:r w:rsidRPr="00DB6842">
        <w:rPr>
          <w:rFonts w:ascii="Aptos" w:hAnsi="Aptos" w:cs="Arial"/>
        </w:rPr>
        <w:t>.</w:t>
      </w:r>
    </w:p>
    <w:p w14:paraId="7C5A6263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No clear cap on liability</w:t>
      </w:r>
      <w:r w:rsidRPr="00DB6842">
        <w:rPr>
          <w:rFonts w:ascii="Aptos" w:hAnsi="Aptos" w:cs="Arial"/>
        </w:rPr>
        <w:t>, exposing subcontractors to excessive financial penalties.</w:t>
      </w:r>
    </w:p>
    <w:p w14:paraId="7113915A" w14:textId="77777777" w:rsidR="00E04EBA" w:rsidRPr="00DB6842" w:rsidRDefault="00E04EBA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79F269F4" w14:textId="20016886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Practical Completion</w:t>
      </w:r>
    </w:p>
    <w:p w14:paraId="44DA690B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Does the subcontract </w:t>
      </w:r>
      <w:r w:rsidRPr="00DB6842">
        <w:rPr>
          <w:rFonts w:ascii="Aptos" w:hAnsi="Aptos" w:cs="Arial"/>
          <w:b/>
          <w:bCs/>
        </w:rPr>
        <w:t>have its own completion date</w:t>
      </w:r>
      <w:r w:rsidRPr="00DB6842">
        <w:rPr>
          <w:rFonts w:ascii="Aptos" w:hAnsi="Aptos" w:cs="Arial"/>
        </w:rPr>
        <w:t>, or is it tied to the main contract completion?</w:t>
      </w:r>
    </w:p>
    <w:p w14:paraId="63D79CAA" w14:textId="0FDDA39D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</w:rPr>
        <w:t xml:space="preserve">Are there </w:t>
      </w:r>
      <w:r w:rsidRPr="00DB6842">
        <w:rPr>
          <w:rFonts w:ascii="Aptos" w:hAnsi="Aptos" w:cs="Arial"/>
          <w:b/>
          <w:bCs/>
        </w:rPr>
        <w:t>unfair dependencies</w:t>
      </w:r>
      <w:r w:rsidRPr="00DB6842">
        <w:rPr>
          <w:rFonts w:ascii="Aptos" w:hAnsi="Aptos" w:cs="Arial"/>
        </w:rPr>
        <w:t xml:space="preserve"> on other contractors' work?</w:t>
      </w:r>
    </w:p>
    <w:p w14:paraId="238DD0D0" w14:textId="77777777" w:rsidR="007B08AF" w:rsidRPr="00DB6842" w:rsidRDefault="007B08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61A21CAB" w14:textId="44A90767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Variations &amp; Design Responsibility</w:t>
      </w:r>
    </w:p>
    <w:p w14:paraId="15696440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Unclear variation procedures</w:t>
      </w:r>
      <w:r w:rsidRPr="00DB6842">
        <w:rPr>
          <w:rFonts w:ascii="Aptos" w:hAnsi="Aptos" w:cs="Arial"/>
        </w:rPr>
        <w:t xml:space="preserve">—refer to </w:t>
      </w:r>
      <w:r w:rsidRPr="00DB6842">
        <w:rPr>
          <w:rFonts w:ascii="Aptos" w:hAnsi="Aptos" w:cs="Arial"/>
          <w:b/>
          <w:bCs/>
        </w:rPr>
        <w:t>Practice Note 4 (PN4) on Variations</w:t>
      </w:r>
      <w:r w:rsidRPr="00DB6842">
        <w:rPr>
          <w:rFonts w:ascii="Aptos" w:hAnsi="Aptos" w:cs="Arial"/>
        </w:rPr>
        <w:t xml:space="preserve"> for best practices.</w:t>
      </w:r>
    </w:p>
    <w:p w14:paraId="6A48BC95" w14:textId="77777777" w:rsidR="00FD4099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Expansion of </w:t>
      </w:r>
      <w:r w:rsidRPr="00DB6842">
        <w:rPr>
          <w:rFonts w:ascii="Aptos" w:hAnsi="Aptos" w:cs="Arial"/>
          <w:b/>
          <w:bCs/>
        </w:rPr>
        <w:t>Contractor Design Portions (CDP)</w:t>
      </w:r>
      <w:r w:rsidRPr="00DB6842">
        <w:rPr>
          <w:rFonts w:ascii="Aptos" w:hAnsi="Aptos" w:cs="Arial"/>
        </w:rPr>
        <w:t>, shifting design liability to subcontractors.</w:t>
      </w:r>
    </w:p>
    <w:p w14:paraId="2332B014" w14:textId="7BD9B6DA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No clarity on interface issues</w:t>
      </w:r>
      <w:r w:rsidRPr="00DB6842">
        <w:rPr>
          <w:rFonts w:ascii="Aptos" w:hAnsi="Aptos" w:cs="Arial"/>
        </w:rPr>
        <w:t xml:space="preserve"> with other trades or contractors.</w:t>
      </w:r>
    </w:p>
    <w:p w14:paraId="4C7BE7B9" w14:textId="77777777" w:rsidR="007B08AF" w:rsidRPr="00DB6842" w:rsidRDefault="007B08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6A99AE94" w14:textId="12907F9A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Site Conditions &amp; Title Issues</w:t>
      </w:r>
    </w:p>
    <w:p w14:paraId="7405E868" w14:textId="77777777" w:rsidR="007B08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</w:rPr>
        <w:t xml:space="preserve">Clauses that </w:t>
      </w:r>
      <w:r w:rsidRPr="00DB6842">
        <w:rPr>
          <w:rFonts w:ascii="Aptos" w:hAnsi="Aptos" w:cs="Arial"/>
          <w:b/>
          <w:bCs/>
        </w:rPr>
        <w:t>pass responsibility for ground conditions or existing buildings</w:t>
      </w:r>
      <w:r w:rsidRPr="00DB6842">
        <w:rPr>
          <w:rFonts w:ascii="Aptos" w:hAnsi="Aptos" w:cs="Arial"/>
        </w:rPr>
        <w:t xml:space="preserve"> to the contractor.</w:t>
      </w:r>
    </w:p>
    <w:p w14:paraId="24CB5044" w14:textId="5FDE739B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lastRenderedPageBreak/>
        <w:t>Unclear responsibilities</w:t>
      </w:r>
      <w:r w:rsidRPr="00DB6842">
        <w:rPr>
          <w:rFonts w:ascii="Aptos" w:hAnsi="Aptos" w:cs="Arial"/>
        </w:rPr>
        <w:t xml:space="preserve"> for resolving title issues or dealing with external utility providers.</w:t>
      </w:r>
    </w:p>
    <w:p w14:paraId="54B22FEB" w14:textId="77777777" w:rsidR="007D6702" w:rsidRPr="00DB6842" w:rsidRDefault="007D6702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</w:p>
    <w:p w14:paraId="26D2F4C8" w14:textId="736DC1D6" w:rsidR="003B4AAF" w:rsidRPr="00DB6842" w:rsidRDefault="003B4AAF" w:rsidP="00EC7A60">
      <w:pPr>
        <w:pStyle w:val="ListParagraph"/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Insurance Requirements</w:t>
      </w:r>
    </w:p>
    <w:p w14:paraId="0605595A" w14:textId="77777777" w:rsidR="003B4AAF" w:rsidRPr="00DB6842" w:rsidRDefault="003B4AAF" w:rsidP="00EC7A60">
      <w:pPr>
        <w:pStyle w:val="ListParagraph"/>
        <w:numPr>
          <w:ilvl w:val="0"/>
          <w:numId w:val="20"/>
        </w:num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Contractual insurance provisions that </w:t>
      </w:r>
      <w:r w:rsidRPr="00DB6842">
        <w:rPr>
          <w:rFonts w:ascii="Aptos" w:hAnsi="Aptos" w:cs="Arial"/>
          <w:b/>
          <w:bCs/>
        </w:rPr>
        <w:t>do not align with your actual policies</w:t>
      </w:r>
      <w:r w:rsidRPr="00DB6842">
        <w:rPr>
          <w:rFonts w:ascii="Aptos" w:hAnsi="Aptos" w:cs="Arial"/>
        </w:rPr>
        <w:t>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Design liability clauses</w:t>
      </w:r>
      <w:r w:rsidRPr="00DB6842">
        <w:rPr>
          <w:rFonts w:ascii="Aptos" w:hAnsi="Aptos" w:cs="Arial"/>
        </w:rPr>
        <w:t xml:space="preserve"> that may not be covered under your Professional Indemnity (PI) insurance.</w:t>
      </w:r>
    </w:p>
    <w:p w14:paraId="16418A1F" w14:textId="77777777" w:rsidR="003B4AAF" w:rsidRPr="00DB6842" w:rsidRDefault="001B46DA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pict w14:anchorId="6435969A">
          <v:rect id="_x0000_i1027" style="width:468pt;height:1.2pt" o:hrstd="t" o:hr="t" fillcolor="#a0a0a0" stroked="f"/>
        </w:pict>
      </w:r>
    </w:p>
    <w:p w14:paraId="6B5C721E" w14:textId="5A0947EB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 xml:space="preserve">3. How to Manage </w:t>
      </w:r>
      <w:r w:rsidR="00FD4099" w:rsidRPr="00DB6842">
        <w:rPr>
          <w:rFonts w:ascii="Aptos" w:hAnsi="Aptos" w:cs="Arial"/>
          <w:b/>
          <w:bCs/>
        </w:rPr>
        <w:t>Unfavourable</w:t>
      </w:r>
      <w:r w:rsidRPr="00DB6842">
        <w:rPr>
          <w:rFonts w:ascii="Aptos" w:hAnsi="Aptos" w:cs="Arial"/>
          <w:b/>
          <w:bCs/>
        </w:rPr>
        <w:t xml:space="preserve"> Amendments</w:t>
      </w:r>
    </w:p>
    <w:p w14:paraId="5492E534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If you encounter </w:t>
      </w:r>
      <w:r w:rsidRPr="00DB6842">
        <w:rPr>
          <w:rFonts w:ascii="Aptos" w:hAnsi="Aptos" w:cs="Arial"/>
          <w:b/>
          <w:bCs/>
        </w:rPr>
        <w:t>onerous contract amendments</w:t>
      </w:r>
      <w:r w:rsidRPr="00DB6842">
        <w:rPr>
          <w:rFonts w:ascii="Aptos" w:hAnsi="Aptos" w:cs="Arial"/>
        </w:rPr>
        <w:t xml:space="preserve">, you have </w:t>
      </w:r>
      <w:r w:rsidRPr="00DB6842">
        <w:rPr>
          <w:rFonts w:ascii="Aptos" w:hAnsi="Aptos" w:cs="Arial"/>
          <w:b/>
          <w:bCs/>
        </w:rPr>
        <w:t>three options</w:t>
      </w:r>
      <w:r w:rsidRPr="00DB6842">
        <w:rPr>
          <w:rFonts w:ascii="Aptos" w:hAnsi="Aptos" w:cs="Arial"/>
        </w:rPr>
        <w:t>:</w:t>
      </w:r>
    </w:p>
    <w:p w14:paraId="4E4FE33B" w14:textId="77777777" w:rsidR="007A1FCA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1️ </w:t>
      </w:r>
      <w:r w:rsidRPr="00DB6842">
        <w:rPr>
          <w:rFonts w:ascii="Aptos" w:hAnsi="Aptos" w:cs="Arial"/>
          <w:b/>
          <w:bCs/>
        </w:rPr>
        <w:t>Negotiate the terms</w:t>
      </w:r>
      <w:r w:rsidRPr="00DB6842">
        <w:rPr>
          <w:rFonts w:ascii="Aptos" w:hAnsi="Aptos" w:cs="Arial"/>
        </w:rPr>
        <w:t xml:space="preserve"> with the client/contractor. Many amendments can be modified if raised early.</w:t>
      </w:r>
    </w:p>
    <w:p w14:paraId="785B0F4D" w14:textId="77777777" w:rsidR="00A7725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2️ </w:t>
      </w:r>
      <w:r w:rsidRPr="00DB6842">
        <w:rPr>
          <w:rFonts w:ascii="Aptos" w:hAnsi="Aptos" w:cs="Arial"/>
          <w:b/>
          <w:bCs/>
        </w:rPr>
        <w:t>Price the risk</w:t>
      </w:r>
      <w:r w:rsidRPr="00DB6842">
        <w:rPr>
          <w:rFonts w:ascii="Aptos" w:hAnsi="Aptos" w:cs="Arial"/>
        </w:rPr>
        <w:t>—factor potential liabilities into your tender pricing.</w:t>
      </w:r>
    </w:p>
    <w:p w14:paraId="226FE2EB" w14:textId="39EA9B78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3️ </w:t>
      </w:r>
      <w:r w:rsidRPr="00DB6842">
        <w:rPr>
          <w:rFonts w:ascii="Aptos" w:hAnsi="Aptos" w:cs="Arial"/>
          <w:b/>
          <w:bCs/>
        </w:rPr>
        <w:t>Reject the contract and walk away</w:t>
      </w:r>
      <w:r w:rsidRPr="00DB6842">
        <w:rPr>
          <w:rFonts w:ascii="Aptos" w:hAnsi="Aptos" w:cs="Arial"/>
        </w:rPr>
        <w:t xml:space="preserve"> if the risks are too high.</w:t>
      </w:r>
    </w:p>
    <w:p w14:paraId="396121D8" w14:textId="7DD85096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Tip:</w:t>
      </w:r>
      <w:r w:rsidRPr="00DB6842">
        <w:rPr>
          <w:rFonts w:ascii="Aptos" w:hAnsi="Aptos" w:cs="Arial"/>
        </w:rPr>
        <w:t xml:space="preserve"> Industry bodies and trade organi</w:t>
      </w:r>
      <w:r w:rsidR="00A7725F" w:rsidRPr="00DB6842">
        <w:rPr>
          <w:rFonts w:ascii="Aptos" w:hAnsi="Aptos" w:cs="Arial"/>
        </w:rPr>
        <w:t>s</w:t>
      </w:r>
      <w:r w:rsidRPr="00DB6842">
        <w:rPr>
          <w:rFonts w:ascii="Aptos" w:hAnsi="Aptos" w:cs="Arial"/>
        </w:rPr>
        <w:t>ations can provide support if you face unreasonable contract terms.</w:t>
      </w:r>
    </w:p>
    <w:p w14:paraId="5E5C3874" w14:textId="77777777" w:rsidR="003B4AAF" w:rsidRPr="00DB6842" w:rsidRDefault="001B46DA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pict w14:anchorId="76DF7A18">
          <v:rect id="_x0000_i1028" style="width:468pt;height:1.2pt" o:hrstd="t" o:hr="t" fillcolor="#a0a0a0" stroked="f"/>
        </w:pict>
      </w:r>
    </w:p>
    <w:p w14:paraId="12EEA3F1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4. Industry Response &amp; Conflict Avoidance</w:t>
      </w:r>
    </w:p>
    <w:p w14:paraId="68141A4F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The construction industry is increasingly </w:t>
      </w:r>
      <w:r w:rsidRPr="00DB6842">
        <w:rPr>
          <w:rFonts w:ascii="Aptos" w:hAnsi="Aptos" w:cs="Arial"/>
          <w:b/>
          <w:bCs/>
        </w:rPr>
        <w:t>concerned about excessive contract amendments</w:t>
      </w:r>
      <w:r w:rsidRPr="00DB6842">
        <w:rPr>
          <w:rFonts w:ascii="Aptos" w:hAnsi="Aptos" w:cs="Arial"/>
        </w:rPr>
        <w:t xml:space="preserve">. The </w:t>
      </w:r>
      <w:r w:rsidRPr="00DB6842">
        <w:rPr>
          <w:rFonts w:ascii="Aptos" w:hAnsi="Aptos" w:cs="Arial"/>
          <w:b/>
          <w:bCs/>
        </w:rPr>
        <w:t>Conflict Avoidance Coalition</w:t>
      </w:r>
      <w:r w:rsidRPr="00DB6842">
        <w:rPr>
          <w:rFonts w:ascii="Aptos" w:hAnsi="Aptos" w:cs="Arial"/>
        </w:rPr>
        <w:t xml:space="preserve"> is actively working with industry experts to address unfair practices.</w:t>
      </w:r>
    </w:p>
    <w:p w14:paraId="664226A8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If you are seeing </w:t>
      </w:r>
      <w:r w:rsidRPr="00DB6842">
        <w:rPr>
          <w:rFonts w:ascii="Aptos" w:hAnsi="Aptos" w:cs="Arial"/>
          <w:b/>
          <w:bCs/>
        </w:rPr>
        <w:t>highly unfair or unworkable contract amendments</w:t>
      </w:r>
      <w:r w:rsidRPr="00DB6842">
        <w:rPr>
          <w:rFonts w:ascii="Aptos" w:hAnsi="Aptos" w:cs="Arial"/>
        </w:rPr>
        <w:t xml:space="preserve">, reach out to </w:t>
      </w:r>
      <w:r w:rsidRPr="00DB6842">
        <w:rPr>
          <w:rFonts w:ascii="Aptos" w:hAnsi="Aptos" w:cs="Arial"/>
          <w:b/>
          <w:bCs/>
        </w:rPr>
        <w:t>your trade body</w:t>
      </w:r>
      <w:r w:rsidRPr="00DB6842">
        <w:rPr>
          <w:rFonts w:ascii="Aptos" w:hAnsi="Aptos" w:cs="Arial"/>
        </w:rPr>
        <w:t xml:space="preserve"> or the </w:t>
      </w:r>
      <w:r w:rsidRPr="00DB6842">
        <w:rPr>
          <w:rFonts w:ascii="Aptos" w:hAnsi="Aptos" w:cs="Arial"/>
          <w:b/>
          <w:bCs/>
        </w:rPr>
        <w:t>Conflict Avoidance Coalition</w:t>
      </w:r>
      <w:r w:rsidRPr="00DB6842">
        <w:rPr>
          <w:rFonts w:ascii="Aptos" w:hAnsi="Aptos" w:cs="Arial"/>
        </w:rPr>
        <w:t xml:space="preserve"> for support.</w:t>
      </w:r>
    </w:p>
    <w:p w14:paraId="12D1F2B2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For further insights, watch the </w:t>
      </w:r>
      <w:r w:rsidRPr="00DB6842">
        <w:rPr>
          <w:rFonts w:ascii="Aptos" w:hAnsi="Aptos" w:cs="Arial"/>
          <w:b/>
          <w:bCs/>
        </w:rPr>
        <w:t>Cash Flow and Contract Webinar</w:t>
      </w:r>
      <w:r w:rsidRPr="00DB6842">
        <w:rPr>
          <w:rFonts w:ascii="Aptos" w:hAnsi="Aptos" w:cs="Arial"/>
        </w:rPr>
        <w:t xml:space="preserve"> on the </w:t>
      </w:r>
      <w:r w:rsidRPr="00DB6842">
        <w:rPr>
          <w:rFonts w:ascii="Aptos" w:hAnsi="Aptos" w:cs="Arial"/>
          <w:b/>
          <w:bCs/>
        </w:rPr>
        <w:t>CICV website</w:t>
      </w:r>
      <w:r w:rsidRPr="00DB6842">
        <w:rPr>
          <w:rFonts w:ascii="Aptos" w:hAnsi="Aptos" w:cs="Arial"/>
        </w:rPr>
        <w:t>.</w:t>
      </w:r>
    </w:p>
    <w:p w14:paraId="1B584D37" w14:textId="77777777" w:rsidR="003B4AAF" w:rsidRPr="00DB6842" w:rsidRDefault="001B46DA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pict w14:anchorId="765BD6FD">
          <v:rect id="_x0000_i1029" style="width:468pt;height:1.2pt" o:hrstd="t" o:hr="t" fillcolor="#a0a0a0" stroked="f"/>
        </w:pict>
      </w:r>
    </w:p>
    <w:p w14:paraId="0C98AA12" w14:textId="77777777" w:rsidR="002E012E" w:rsidRPr="00DB6842" w:rsidRDefault="002E012E" w:rsidP="00EC7A60">
      <w:pPr>
        <w:spacing w:line="360" w:lineRule="auto"/>
        <w:rPr>
          <w:rFonts w:ascii="Aptos" w:hAnsi="Aptos" w:cs="Arial"/>
          <w:b/>
          <w:bCs/>
        </w:rPr>
      </w:pPr>
    </w:p>
    <w:p w14:paraId="28AA4D4F" w14:textId="77777777" w:rsidR="002E012E" w:rsidRPr="00DB6842" w:rsidRDefault="002E012E" w:rsidP="00EC7A60">
      <w:pPr>
        <w:spacing w:line="360" w:lineRule="auto"/>
        <w:rPr>
          <w:rFonts w:ascii="Aptos" w:hAnsi="Aptos" w:cs="Arial"/>
          <w:b/>
          <w:bCs/>
        </w:rPr>
      </w:pPr>
    </w:p>
    <w:p w14:paraId="33EC3CCE" w14:textId="77777777" w:rsidR="002E012E" w:rsidRPr="00DB6842" w:rsidRDefault="002E012E" w:rsidP="00EC7A60">
      <w:pPr>
        <w:spacing w:line="360" w:lineRule="auto"/>
        <w:rPr>
          <w:rFonts w:ascii="Aptos" w:hAnsi="Aptos" w:cs="Arial"/>
          <w:b/>
          <w:bCs/>
        </w:rPr>
      </w:pPr>
    </w:p>
    <w:p w14:paraId="2596F373" w14:textId="28648919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Final Advice</w:t>
      </w:r>
    </w:p>
    <w:p w14:paraId="2D9E9992" w14:textId="77777777" w:rsidR="00F577C3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Always review contracts before signing</w:t>
      </w:r>
      <w:r w:rsidRPr="00DB6842">
        <w:rPr>
          <w:rFonts w:ascii="Aptos" w:hAnsi="Aptos" w:cs="Arial"/>
        </w:rPr>
        <w:t>—never wait until work is about to start.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Understand your obligations and risks</w:t>
      </w:r>
      <w:r w:rsidRPr="00DB6842">
        <w:rPr>
          <w:rFonts w:ascii="Aptos" w:hAnsi="Aptos" w:cs="Arial"/>
        </w:rPr>
        <w:t>—identify clauses that could impact your cash flow.</w:t>
      </w:r>
    </w:p>
    <w:p w14:paraId="2B064CA9" w14:textId="0565CE0E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Engage in early discussions</w:t>
      </w:r>
      <w:r w:rsidRPr="00DB6842">
        <w:rPr>
          <w:rFonts w:ascii="Aptos" w:hAnsi="Aptos" w:cs="Arial"/>
        </w:rPr>
        <w:t>—negotiate terms that protect your interests.</w:t>
      </w:r>
      <w:r w:rsidRPr="00DB6842">
        <w:rPr>
          <w:rFonts w:ascii="Aptos" w:hAnsi="Aptos" w:cs="Arial"/>
        </w:rPr>
        <w:br/>
      </w:r>
      <w:r w:rsidRPr="00DB6842">
        <w:rPr>
          <w:rFonts w:ascii="Aptos" w:hAnsi="Aptos" w:cs="Arial"/>
          <w:b/>
          <w:bCs/>
        </w:rPr>
        <w:t>Seek expert advice</w:t>
      </w:r>
      <w:r w:rsidRPr="00DB6842">
        <w:rPr>
          <w:rFonts w:ascii="Aptos" w:hAnsi="Aptos" w:cs="Arial"/>
        </w:rPr>
        <w:t>—use industry contract review services if needed.</w:t>
      </w:r>
    </w:p>
    <w:p w14:paraId="2BB7A69E" w14:textId="77777777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t xml:space="preserve">Taking a </w:t>
      </w:r>
      <w:r w:rsidRPr="00DB6842">
        <w:rPr>
          <w:rFonts w:ascii="Aptos" w:hAnsi="Aptos" w:cs="Arial"/>
          <w:b/>
          <w:bCs/>
        </w:rPr>
        <w:t>proactive approach</w:t>
      </w:r>
      <w:r w:rsidRPr="00DB6842">
        <w:rPr>
          <w:rFonts w:ascii="Aptos" w:hAnsi="Aptos" w:cs="Arial"/>
        </w:rPr>
        <w:t xml:space="preserve"> to contract amendments will help </w:t>
      </w:r>
      <w:r w:rsidRPr="00DB6842">
        <w:rPr>
          <w:rFonts w:ascii="Aptos" w:hAnsi="Aptos" w:cs="Arial"/>
          <w:b/>
          <w:bCs/>
        </w:rPr>
        <w:t>mitigate risk, reduce disputes, and improve financial stability</w:t>
      </w:r>
      <w:r w:rsidRPr="00DB6842">
        <w:rPr>
          <w:rFonts w:ascii="Aptos" w:hAnsi="Aptos" w:cs="Arial"/>
        </w:rPr>
        <w:t>.</w:t>
      </w:r>
    </w:p>
    <w:p w14:paraId="3F7FD038" w14:textId="77777777" w:rsidR="003B4AAF" w:rsidRPr="00DB6842" w:rsidRDefault="001B46DA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</w:rPr>
        <w:pict w14:anchorId="3C5393E2">
          <v:rect id="_x0000_i1030" style="width:468pt;height:1.2pt" o:hrstd="t" o:hr="t" fillcolor="#a0a0a0" stroked="f"/>
        </w:pict>
      </w:r>
    </w:p>
    <w:p w14:paraId="2563BF80" w14:textId="77777777" w:rsidR="003B4AAF" w:rsidRPr="00DB6842" w:rsidRDefault="003B4AAF" w:rsidP="00EC7A60">
      <w:pPr>
        <w:spacing w:line="360" w:lineRule="auto"/>
        <w:rPr>
          <w:rFonts w:ascii="Aptos" w:hAnsi="Aptos" w:cs="Arial"/>
          <w:b/>
          <w:bCs/>
        </w:rPr>
      </w:pPr>
      <w:r w:rsidRPr="00DB6842">
        <w:rPr>
          <w:rFonts w:ascii="Aptos" w:hAnsi="Aptos" w:cs="Arial"/>
          <w:b/>
          <w:bCs/>
        </w:rPr>
        <w:t>Joint Authors:</w:t>
      </w:r>
    </w:p>
    <w:p w14:paraId="4CD360F9" w14:textId="1D74B35C" w:rsidR="004955B9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Len Bunton</w:t>
      </w:r>
      <w:r w:rsidRPr="00DB6842">
        <w:rPr>
          <w:rFonts w:ascii="Aptos" w:hAnsi="Aptos" w:cs="Arial"/>
        </w:rPr>
        <w:t xml:space="preserve"> – </w:t>
      </w:r>
      <w:hyperlink r:id="rId12" w:history="1">
        <w:r w:rsidR="004955B9" w:rsidRPr="00DB6842">
          <w:rPr>
            <w:rStyle w:val="Hyperlink"/>
            <w:rFonts w:ascii="Aptos" w:hAnsi="Aptos" w:cs="Arial"/>
          </w:rPr>
          <w:t>len@buntonconsulting.co.uk</w:t>
        </w:r>
      </w:hyperlink>
    </w:p>
    <w:p w14:paraId="152DA939" w14:textId="79426534" w:rsidR="004955B9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Sean Bradley</w:t>
      </w:r>
      <w:r w:rsidRPr="00DB6842">
        <w:rPr>
          <w:rFonts w:ascii="Aptos" w:hAnsi="Aptos" w:cs="Arial"/>
        </w:rPr>
        <w:t xml:space="preserve"> – </w:t>
      </w:r>
      <w:hyperlink r:id="rId13" w:history="1">
        <w:r w:rsidR="004955B9" w:rsidRPr="00DB6842">
          <w:rPr>
            <w:rStyle w:val="Hyperlink"/>
            <w:rFonts w:ascii="Aptos" w:hAnsi="Aptos" w:cs="Arial"/>
          </w:rPr>
          <w:t>sean@seanbradleyconsultancy.co.uk</w:t>
        </w:r>
      </w:hyperlink>
    </w:p>
    <w:p w14:paraId="7EB64C17" w14:textId="3D601C91" w:rsidR="003B4AAF" w:rsidRPr="00DB6842" w:rsidRDefault="003B4AAF" w:rsidP="00EC7A60">
      <w:pPr>
        <w:spacing w:line="360" w:lineRule="auto"/>
        <w:rPr>
          <w:rFonts w:ascii="Aptos" w:hAnsi="Aptos" w:cs="Arial"/>
        </w:rPr>
      </w:pPr>
      <w:r w:rsidRPr="00DB6842">
        <w:rPr>
          <w:rFonts w:ascii="Aptos" w:hAnsi="Aptos" w:cs="Arial"/>
          <w:b/>
          <w:bCs/>
        </w:rPr>
        <w:t>Mark Holden-Smith</w:t>
      </w:r>
      <w:r w:rsidRPr="00DB6842">
        <w:rPr>
          <w:rFonts w:ascii="Aptos" w:hAnsi="Aptos" w:cs="Arial"/>
        </w:rPr>
        <w:t xml:space="preserve"> – </w:t>
      </w:r>
      <w:hyperlink r:id="rId14" w:history="1">
        <w:r w:rsidR="002E012E" w:rsidRPr="00DB6842">
          <w:rPr>
            <w:rStyle w:val="Hyperlink"/>
            <w:rFonts w:ascii="Aptos" w:hAnsi="Aptos" w:cs="Arial"/>
          </w:rPr>
          <w:t>mark@holden-smith.com</w:t>
        </w:r>
      </w:hyperlink>
    </w:p>
    <w:p w14:paraId="5C7F4BBD" w14:textId="77777777" w:rsidR="004955B9" w:rsidRPr="00DB6842" w:rsidRDefault="004955B9" w:rsidP="00EC7A60">
      <w:pPr>
        <w:spacing w:line="360" w:lineRule="auto"/>
        <w:rPr>
          <w:rFonts w:ascii="Aptos" w:hAnsi="Aptos" w:cs="Arial"/>
          <w:b/>
          <w:bCs/>
        </w:rPr>
      </w:pPr>
    </w:p>
    <w:p w14:paraId="0102879F" w14:textId="7B318205" w:rsidR="001B46DA" w:rsidRDefault="001B46DA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br w:type="page"/>
      </w:r>
    </w:p>
    <w:p w14:paraId="3555E617" w14:textId="5C36A4ED" w:rsidR="003B4AAF" w:rsidRPr="00DB6842" w:rsidRDefault="001B46DA" w:rsidP="001B46DA">
      <w:pPr>
        <w:tabs>
          <w:tab w:val="left" w:pos="1275"/>
        </w:tabs>
        <w:spacing w:line="360" w:lineRule="auto"/>
        <w:rPr>
          <w:rFonts w:ascii="Aptos" w:hAnsi="Aptos" w:cs="Arial"/>
        </w:rPr>
      </w:pPr>
      <w:r>
        <w:rPr>
          <w:rFonts w:ascii="Aptos" w:hAnsi="Aptos"/>
          <w:b/>
          <w:bCs/>
          <w:noProof/>
          <w:u w:val="single"/>
        </w:rPr>
        <w:lastRenderedPageBreak/>
        <w:drawing>
          <wp:anchor distT="0" distB="0" distL="114300" distR="114300" simplePos="0" relativeHeight="251658241" behindDoc="1" locked="0" layoutInCell="1" allowOverlap="1" wp14:anchorId="3D7F64C1" wp14:editId="55125C29">
            <wp:simplePos x="0" y="0"/>
            <wp:positionH relativeFrom="column">
              <wp:posOffset>-914400</wp:posOffset>
            </wp:positionH>
            <wp:positionV relativeFrom="paragraph">
              <wp:posOffset>-1250887</wp:posOffset>
            </wp:positionV>
            <wp:extent cx="7543800" cy="10668675"/>
            <wp:effectExtent l="0" t="0" r="0" b="0"/>
            <wp:wrapNone/>
            <wp:docPr id="2061918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18648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</w:rPr>
        <w:tab/>
      </w:r>
    </w:p>
    <w:p w14:paraId="7535AF48" w14:textId="77777777" w:rsidR="008C3958" w:rsidRPr="00DB6842" w:rsidRDefault="008C3958" w:rsidP="00EC7A60">
      <w:pPr>
        <w:spacing w:line="360" w:lineRule="auto"/>
        <w:rPr>
          <w:rFonts w:ascii="Aptos" w:hAnsi="Aptos" w:cs="Arial"/>
          <w:lang w:val="de-DE"/>
        </w:rPr>
      </w:pPr>
    </w:p>
    <w:sectPr w:rsidR="008C3958" w:rsidRPr="00DB6842" w:rsidSect="007C4D89">
      <w:headerReference w:type="default" r:id="rId16"/>
      <w:footerReference w:type="default" r:id="rId1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D90AE" w14:textId="77777777" w:rsidR="00A2280D" w:rsidRDefault="00A2280D" w:rsidP="007C4D89">
      <w:pPr>
        <w:spacing w:after="0" w:line="240" w:lineRule="auto"/>
      </w:pPr>
      <w:r>
        <w:separator/>
      </w:r>
    </w:p>
  </w:endnote>
  <w:endnote w:type="continuationSeparator" w:id="0">
    <w:p w14:paraId="11CD0E90" w14:textId="77777777" w:rsidR="00A2280D" w:rsidRDefault="00A2280D" w:rsidP="007C4D89">
      <w:pPr>
        <w:spacing w:after="0" w:line="240" w:lineRule="auto"/>
      </w:pPr>
      <w:r>
        <w:continuationSeparator/>
      </w:r>
    </w:p>
  </w:endnote>
  <w:endnote w:type="continuationNotice" w:id="1">
    <w:p w14:paraId="351E925C" w14:textId="77777777" w:rsidR="001B46DA" w:rsidRDefault="001B4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6D78" w14:textId="7331BA3A" w:rsidR="00652F93" w:rsidRDefault="00E9231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55C22F1E" wp14:editId="412F62AC">
              <wp:simplePos x="0" y="0"/>
              <wp:positionH relativeFrom="column">
                <wp:posOffset>3960495</wp:posOffset>
              </wp:positionH>
              <wp:positionV relativeFrom="paragraph">
                <wp:posOffset>-142875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C272EF" id="Group 3" o:spid="_x0000_s1026" style="position:absolute;margin-left:311.85pt;margin-top:-11.25pt;width:153.65pt;height:46.8pt;z-index:-251658238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EE30" w14:textId="77777777" w:rsidR="00A2280D" w:rsidRDefault="00A2280D" w:rsidP="007C4D89">
      <w:pPr>
        <w:spacing w:after="0" w:line="240" w:lineRule="auto"/>
      </w:pPr>
      <w:r>
        <w:separator/>
      </w:r>
    </w:p>
  </w:footnote>
  <w:footnote w:type="continuationSeparator" w:id="0">
    <w:p w14:paraId="6B637FEE" w14:textId="77777777" w:rsidR="00A2280D" w:rsidRDefault="00A2280D" w:rsidP="007C4D89">
      <w:pPr>
        <w:spacing w:after="0" w:line="240" w:lineRule="auto"/>
      </w:pPr>
      <w:r>
        <w:continuationSeparator/>
      </w:r>
    </w:p>
  </w:footnote>
  <w:footnote w:type="continuationNotice" w:id="1">
    <w:p w14:paraId="5FCCF971" w14:textId="77777777" w:rsidR="001B46DA" w:rsidRDefault="001B4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B009" w14:textId="62B36A6C" w:rsidR="007C4D89" w:rsidRDefault="00652F93" w:rsidP="0037730D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884880" wp14:editId="56BEF977">
          <wp:simplePos x="0" y="0"/>
          <wp:positionH relativeFrom="column">
            <wp:posOffset>4724400</wp:posOffset>
          </wp:positionH>
          <wp:positionV relativeFrom="paragraph">
            <wp:posOffset>-205105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5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6003AD" wp14:editId="180689A7">
              <wp:simplePos x="0" y="0"/>
              <wp:positionH relativeFrom="column">
                <wp:posOffset>-415636</wp:posOffset>
              </wp:positionH>
              <wp:positionV relativeFrom="paragraph">
                <wp:posOffset>-138315</wp:posOffset>
              </wp:positionV>
              <wp:extent cx="1221105" cy="617682"/>
              <wp:effectExtent l="0" t="0" r="0" b="0"/>
              <wp:wrapNone/>
              <wp:docPr id="7884230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105" cy="6176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7E0070" w14:textId="5A560011" w:rsidR="00B35528" w:rsidRDefault="00B355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0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75pt;margin-top:-10.9pt;width:96.1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" filled="f" stroked="f" strokeweight=".5pt">
              <v:textbox>
                <w:txbxContent>
                  <w:p w14:paraId="187E0070" w14:textId="5A560011" w:rsidR="00B35528" w:rsidRDefault="00B35528"/>
                </w:txbxContent>
              </v:textbox>
            </v:shape>
          </w:pict>
        </mc:Fallback>
      </mc:AlternateContent>
    </w:r>
    <w:r w:rsidR="0037730D">
      <w:rPr>
        <w:noProof/>
      </w:rPr>
      <w:t xml:space="preserve"> </w:t>
    </w:r>
    <w:r w:rsidR="0037730D">
      <w:rPr>
        <w:rFonts w:ascii="Segoe UI" w:hAnsi="Segoe UI" w:cs="Segoe UI"/>
        <w:noProof/>
        <w:sz w:val="20"/>
        <w:szCs w:val="20"/>
      </w:rPr>
      <w:t xml:space="preserve">  </w:t>
    </w:r>
    <w:r w:rsidR="0037730D">
      <w:rPr>
        <w:rFonts w:ascii="Segoe UI" w:hAnsi="Segoe UI" w:cs="Segoe UI"/>
        <w:noProof/>
        <w:sz w:val="20"/>
        <w:szCs w:val="20"/>
      </w:rPr>
      <w:tab/>
    </w:r>
    <w:r w:rsidR="0037730D">
      <w:rPr>
        <w:rFonts w:ascii="Segoe UI" w:hAnsi="Segoe UI" w:cs="Segoe UI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087"/>
    <w:multiLevelType w:val="hybridMultilevel"/>
    <w:tmpl w:val="EC76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BB6"/>
    <w:multiLevelType w:val="hybridMultilevel"/>
    <w:tmpl w:val="B9A4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50B"/>
    <w:multiLevelType w:val="hybridMultilevel"/>
    <w:tmpl w:val="500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B7D"/>
    <w:multiLevelType w:val="multilevel"/>
    <w:tmpl w:val="087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219CC"/>
    <w:multiLevelType w:val="multilevel"/>
    <w:tmpl w:val="CC6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17EE6"/>
    <w:multiLevelType w:val="multilevel"/>
    <w:tmpl w:val="172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D1614"/>
    <w:multiLevelType w:val="multilevel"/>
    <w:tmpl w:val="5BC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E0D8C"/>
    <w:multiLevelType w:val="multilevel"/>
    <w:tmpl w:val="D35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7569"/>
    <w:multiLevelType w:val="multilevel"/>
    <w:tmpl w:val="F8D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53D41"/>
    <w:multiLevelType w:val="multilevel"/>
    <w:tmpl w:val="730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6432C"/>
    <w:multiLevelType w:val="multilevel"/>
    <w:tmpl w:val="46B6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D2023"/>
    <w:multiLevelType w:val="multilevel"/>
    <w:tmpl w:val="10BC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E5B83"/>
    <w:multiLevelType w:val="multilevel"/>
    <w:tmpl w:val="E8E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C2981"/>
    <w:multiLevelType w:val="multilevel"/>
    <w:tmpl w:val="F1C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3349A"/>
    <w:multiLevelType w:val="multilevel"/>
    <w:tmpl w:val="58E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E41CE6"/>
    <w:multiLevelType w:val="multilevel"/>
    <w:tmpl w:val="D55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C6A66"/>
    <w:multiLevelType w:val="multilevel"/>
    <w:tmpl w:val="3A2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F7F26"/>
    <w:multiLevelType w:val="multilevel"/>
    <w:tmpl w:val="59F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A40F2"/>
    <w:multiLevelType w:val="multilevel"/>
    <w:tmpl w:val="84B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F1123"/>
    <w:multiLevelType w:val="hybridMultilevel"/>
    <w:tmpl w:val="4F76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8539">
    <w:abstractNumId w:val="14"/>
  </w:num>
  <w:num w:numId="2" w16cid:durableId="119811849">
    <w:abstractNumId w:val="10"/>
  </w:num>
  <w:num w:numId="3" w16cid:durableId="607203136">
    <w:abstractNumId w:val="6"/>
  </w:num>
  <w:num w:numId="4" w16cid:durableId="1675835544">
    <w:abstractNumId w:val="18"/>
  </w:num>
  <w:num w:numId="5" w16cid:durableId="761611799">
    <w:abstractNumId w:val="15"/>
  </w:num>
  <w:num w:numId="6" w16cid:durableId="1915242853">
    <w:abstractNumId w:val="7"/>
  </w:num>
  <w:num w:numId="7" w16cid:durableId="331880462">
    <w:abstractNumId w:val="17"/>
  </w:num>
  <w:num w:numId="8" w16cid:durableId="1596592058">
    <w:abstractNumId w:val="5"/>
  </w:num>
  <w:num w:numId="9" w16cid:durableId="1795516965">
    <w:abstractNumId w:val="4"/>
  </w:num>
  <w:num w:numId="10" w16cid:durableId="1531718946">
    <w:abstractNumId w:val="16"/>
  </w:num>
  <w:num w:numId="11" w16cid:durableId="988093192">
    <w:abstractNumId w:val="9"/>
  </w:num>
  <w:num w:numId="12" w16cid:durableId="1673602834">
    <w:abstractNumId w:val="13"/>
  </w:num>
  <w:num w:numId="13" w16cid:durableId="1643540872">
    <w:abstractNumId w:val="3"/>
  </w:num>
  <w:num w:numId="14" w16cid:durableId="1450008486">
    <w:abstractNumId w:val="8"/>
  </w:num>
  <w:num w:numId="15" w16cid:durableId="722558025">
    <w:abstractNumId w:val="11"/>
  </w:num>
  <w:num w:numId="16" w16cid:durableId="350109481">
    <w:abstractNumId w:val="12"/>
  </w:num>
  <w:num w:numId="17" w16cid:durableId="143664947">
    <w:abstractNumId w:val="1"/>
  </w:num>
  <w:num w:numId="18" w16cid:durableId="1280142683">
    <w:abstractNumId w:val="0"/>
  </w:num>
  <w:num w:numId="19" w16cid:durableId="1339770073">
    <w:abstractNumId w:val="2"/>
  </w:num>
  <w:num w:numId="20" w16cid:durableId="1574974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D099B1-97CD-405E-9A7C-AB03819331FD}"/>
    <w:docVar w:name="dgnword-eventsink" w:val="2359377772560"/>
  </w:docVars>
  <w:rsids>
    <w:rsidRoot w:val="00011390"/>
    <w:rsid w:val="00011390"/>
    <w:rsid w:val="00021D99"/>
    <w:rsid w:val="00057D72"/>
    <w:rsid w:val="00080805"/>
    <w:rsid w:val="000A557C"/>
    <w:rsid w:val="000C30C9"/>
    <w:rsid w:val="00100AFE"/>
    <w:rsid w:val="001408FB"/>
    <w:rsid w:val="00142F6F"/>
    <w:rsid w:val="0016320F"/>
    <w:rsid w:val="00181F46"/>
    <w:rsid w:val="001A5DD7"/>
    <w:rsid w:val="001B46DA"/>
    <w:rsid w:val="001F22E7"/>
    <w:rsid w:val="001F7791"/>
    <w:rsid w:val="002E012E"/>
    <w:rsid w:val="00304223"/>
    <w:rsid w:val="003356BE"/>
    <w:rsid w:val="0037730D"/>
    <w:rsid w:val="00380F65"/>
    <w:rsid w:val="003B4AAF"/>
    <w:rsid w:val="003D360F"/>
    <w:rsid w:val="003D6115"/>
    <w:rsid w:val="003E0F4A"/>
    <w:rsid w:val="00434B83"/>
    <w:rsid w:val="004615A6"/>
    <w:rsid w:val="00471C86"/>
    <w:rsid w:val="004955B9"/>
    <w:rsid w:val="004B2ECB"/>
    <w:rsid w:val="004B5848"/>
    <w:rsid w:val="004C4F6C"/>
    <w:rsid w:val="0064742D"/>
    <w:rsid w:val="00652F93"/>
    <w:rsid w:val="006807B6"/>
    <w:rsid w:val="006A1599"/>
    <w:rsid w:val="006B6D8C"/>
    <w:rsid w:val="006F4CF5"/>
    <w:rsid w:val="00773306"/>
    <w:rsid w:val="0078241E"/>
    <w:rsid w:val="00785B7E"/>
    <w:rsid w:val="0079229E"/>
    <w:rsid w:val="007A1FCA"/>
    <w:rsid w:val="007B08AF"/>
    <w:rsid w:val="007C4D89"/>
    <w:rsid w:val="007D6702"/>
    <w:rsid w:val="007E4ABA"/>
    <w:rsid w:val="008C29DF"/>
    <w:rsid w:val="008C3958"/>
    <w:rsid w:val="008D7122"/>
    <w:rsid w:val="008E7A00"/>
    <w:rsid w:val="0097512B"/>
    <w:rsid w:val="009A7D0E"/>
    <w:rsid w:val="009B1F28"/>
    <w:rsid w:val="009C0B01"/>
    <w:rsid w:val="009C1BFC"/>
    <w:rsid w:val="00A21CA0"/>
    <w:rsid w:val="00A2280D"/>
    <w:rsid w:val="00A507D9"/>
    <w:rsid w:val="00A56BA6"/>
    <w:rsid w:val="00A7725F"/>
    <w:rsid w:val="00A87184"/>
    <w:rsid w:val="00A879CE"/>
    <w:rsid w:val="00A91146"/>
    <w:rsid w:val="00A92577"/>
    <w:rsid w:val="00AA08D4"/>
    <w:rsid w:val="00AF5D1D"/>
    <w:rsid w:val="00B35528"/>
    <w:rsid w:val="00B57C47"/>
    <w:rsid w:val="00B71B6A"/>
    <w:rsid w:val="00B8114E"/>
    <w:rsid w:val="00B86F01"/>
    <w:rsid w:val="00CB5227"/>
    <w:rsid w:val="00CD2B16"/>
    <w:rsid w:val="00D11D39"/>
    <w:rsid w:val="00D96C56"/>
    <w:rsid w:val="00DA00DA"/>
    <w:rsid w:val="00DA092B"/>
    <w:rsid w:val="00DB6842"/>
    <w:rsid w:val="00DC5955"/>
    <w:rsid w:val="00E02B08"/>
    <w:rsid w:val="00E04EBA"/>
    <w:rsid w:val="00E0717C"/>
    <w:rsid w:val="00E107D6"/>
    <w:rsid w:val="00E20D4F"/>
    <w:rsid w:val="00E33530"/>
    <w:rsid w:val="00E35B4B"/>
    <w:rsid w:val="00E43CE2"/>
    <w:rsid w:val="00E90FC5"/>
    <w:rsid w:val="00E92317"/>
    <w:rsid w:val="00EC7A60"/>
    <w:rsid w:val="00ED3795"/>
    <w:rsid w:val="00F00D5F"/>
    <w:rsid w:val="00F03088"/>
    <w:rsid w:val="00F42927"/>
    <w:rsid w:val="00F577C3"/>
    <w:rsid w:val="00F611DD"/>
    <w:rsid w:val="00F83D1B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0EE76D4"/>
  <w15:chartTrackingRefBased/>
  <w15:docId w15:val="{01A57300-F7FA-4B14-BF9D-9A9575B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3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89"/>
  </w:style>
  <w:style w:type="paragraph" w:styleId="Footer">
    <w:name w:val="footer"/>
    <w:basedOn w:val="Normal"/>
    <w:link w:val="FooterChar"/>
    <w:uiPriority w:val="99"/>
    <w:unhideWhenUsed/>
    <w:rsid w:val="007C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89"/>
  </w:style>
  <w:style w:type="character" w:styleId="Hyperlink">
    <w:name w:val="Hyperlink"/>
    <w:basedOn w:val="DefaultParagraphFont"/>
    <w:uiPriority w:val="99"/>
    <w:unhideWhenUsed/>
    <w:rsid w:val="00142F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6F"/>
    <w:rPr>
      <w:color w:val="605E5C"/>
      <w:shd w:val="clear" w:color="auto" w:fill="E1DFDD"/>
    </w:rPr>
  </w:style>
  <w:style w:type="paragraph" w:customStyle="1" w:styleId="p3">
    <w:name w:val="p3"/>
    <w:basedOn w:val="Normal"/>
    <w:rsid w:val="00AF5D1D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:lang w:eastAsia="en-GB"/>
      <w14:ligatures w14:val="none"/>
    </w:rPr>
  </w:style>
  <w:style w:type="character" w:customStyle="1" w:styleId="s2">
    <w:name w:val="s2"/>
    <w:basedOn w:val="DefaultParagraphFont"/>
    <w:rsid w:val="00AF5D1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1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0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6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an@seanbradleyconsultancy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@buntonconsulting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@holden-smith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A89D-C688-4729-BA60-DC7E47604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A0C3-19BA-4A1A-B32A-A524FDAB1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52DEC-3F37-43EA-8344-E447A2BCD746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customXml/itemProps4.xml><?xml version="1.0" encoding="utf-8"?>
<ds:datastoreItem xmlns:ds="http://schemas.openxmlformats.org/officeDocument/2006/customXml" ds:itemID="{6362337C-9508-4153-8BC1-F613FC64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10</cp:revision>
  <dcterms:created xsi:type="dcterms:W3CDTF">2025-02-23T13:38:00Z</dcterms:created>
  <dcterms:modified xsi:type="dcterms:W3CDTF">2025-02-24T15:47:00Z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