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EFB9C" w14:textId="6A61F2B9" w:rsidR="00B37166" w:rsidRDefault="00B37166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8DD55BD" wp14:editId="7E25B6F8">
            <wp:simplePos x="0" y="0"/>
            <wp:positionH relativeFrom="column">
              <wp:posOffset>-899410</wp:posOffset>
            </wp:positionH>
            <wp:positionV relativeFrom="paragraph">
              <wp:posOffset>-1178747</wp:posOffset>
            </wp:positionV>
            <wp:extent cx="7541231" cy="10665042"/>
            <wp:effectExtent l="0" t="0" r="3175" b="3175"/>
            <wp:wrapNone/>
            <wp:docPr id="11172988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98831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31" cy="1066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7843FE62" w14:textId="02EBB016" w:rsidR="007606E9" w:rsidRPr="007606E9" w:rsidRDefault="007606E9" w:rsidP="007606E9">
      <w:pPr>
        <w:rPr>
          <w:b/>
          <w:bCs/>
        </w:rPr>
      </w:pPr>
      <w:r w:rsidRPr="007606E9">
        <w:rPr>
          <w:b/>
          <w:bCs/>
        </w:rPr>
        <w:lastRenderedPageBreak/>
        <w:t xml:space="preserve">CICV Best Practice Guide – Practice Note </w:t>
      </w:r>
      <w:r w:rsidR="00E84C69">
        <w:rPr>
          <w:b/>
          <w:bCs/>
        </w:rPr>
        <w:t>1</w:t>
      </w:r>
      <w:r w:rsidR="005F3919">
        <w:rPr>
          <w:b/>
          <w:bCs/>
        </w:rPr>
        <w:t>1</w:t>
      </w:r>
      <w:r w:rsidR="0037326A">
        <w:rPr>
          <w:b/>
          <w:bCs/>
        </w:rPr>
        <w:t xml:space="preserve">: </w:t>
      </w:r>
      <w:r w:rsidR="005F3919">
        <w:rPr>
          <w:b/>
          <w:bCs/>
        </w:rPr>
        <w:t>Low Value Adjudication S</w:t>
      </w:r>
      <w:r w:rsidR="00A7282B">
        <w:rPr>
          <w:b/>
          <w:bCs/>
        </w:rPr>
        <w:t>c</w:t>
      </w:r>
      <w:r w:rsidR="005F3919">
        <w:rPr>
          <w:b/>
          <w:bCs/>
        </w:rPr>
        <w:t>hemes</w:t>
      </w:r>
    </w:p>
    <w:p w14:paraId="6382E159" w14:textId="77777777" w:rsidR="007606E9" w:rsidRDefault="007606E9" w:rsidP="007606E9">
      <w:pPr>
        <w:rPr>
          <w:b/>
          <w:bCs/>
        </w:rPr>
      </w:pPr>
      <w:r w:rsidRPr="007606E9">
        <w:rPr>
          <w:b/>
          <w:bCs/>
        </w:rPr>
        <w:t>Introduction</w:t>
      </w:r>
    </w:p>
    <w:p w14:paraId="3CAEC5C3" w14:textId="42326F3A" w:rsidR="00C01F07" w:rsidRPr="00600112" w:rsidRDefault="00AA7EE3" w:rsidP="00AA7EE3">
      <w:pPr>
        <w:jc w:val="both"/>
      </w:pPr>
      <w:r w:rsidRPr="00AA7EE3">
        <w:t xml:space="preserve">This Practice </w:t>
      </w:r>
      <w:r>
        <w:t>N</w:t>
      </w:r>
      <w:r w:rsidRPr="00AA7EE3">
        <w:t xml:space="preserve">ote </w:t>
      </w:r>
      <w:r w:rsidR="006E2FAB">
        <w:t xml:space="preserve">deals with the </w:t>
      </w:r>
      <w:r w:rsidR="009F5F88" w:rsidRPr="009F5F88">
        <w:rPr>
          <w:b/>
          <w:bCs/>
        </w:rPr>
        <w:t xml:space="preserve">LVD </w:t>
      </w:r>
      <w:r w:rsidR="00A7282B">
        <w:rPr>
          <w:b/>
          <w:bCs/>
        </w:rPr>
        <w:t xml:space="preserve">Adjudication Schemes, </w:t>
      </w:r>
      <w:r w:rsidR="00424F52" w:rsidRPr="00600112">
        <w:t xml:space="preserve">which have a fixed level of fee in relation to the value of the dispute and the benefit of this is that it gives a </w:t>
      </w:r>
      <w:r w:rsidR="000E6605">
        <w:t>P</w:t>
      </w:r>
      <w:r w:rsidR="00424F52" w:rsidRPr="00600112">
        <w:t>arty some cost certainty</w:t>
      </w:r>
      <w:r w:rsidR="00600112" w:rsidRPr="00600112">
        <w:t xml:space="preserve"> if they are unable to resolve matters amicably</w:t>
      </w:r>
      <w:r w:rsidR="0055537B">
        <w:t>,</w:t>
      </w:r>
      <w:r w:rsidR="00600112" w:rsidRPr="00600112">
        <w:t xml:space="preserve"> and have to refer a dispute to adjudication.</w:t>
      </w:r>
    </w:p>
    <w:p w14:paraId="69881645" w14:textId="23E1E57B" w:rsidR="00AA7EE3" w:rsidRPr="00AA7EE3" w:rsidRDefault="00AA7EE3" w:rsidP="00AA7EE3">
      <w:pPr>
        <w:jc w:val="both"/>
      </w:pPr>
      <w:r w:rsidRPr="00AA7EE3">
        <w:t xml:space="preserve">If you are tendering for a Contract that is based on Bespoke Conditions of </w:t>
      </w:r>
      <w:r>
        <w:t>C</w:t>
      </w:r>
      <w:r w:rsidRPr="00AA7EE3">
        <w:t>ontract</w:t>
      </w:r>
      <w:r w:rsidR="00962777">
        <w:t>,</w:t>
      </w:r>
      <w:r w:rsidRPr="00AA7EE3">
        <w:t xml:space="preserve"> then you </w:t>
      </w:r>
      <w:r w:rsidRPr="00AA7EE3">
        <w:rPr>
          <w:b/>
          <w:bCs/>
        </w:rPr>
        <w:t>should carefully review</w:t>
      </w:r>
      <w:r w:rsidRPr="00AA7EE3">
        <w:t xml:space="preserve"> the </w:t>
      </w:r>
      <w:r w:rsidR="00D01E4E">
        <w:t xml:space="preserve">dispute resolution </w:t>
      </w:r>
      <w:r>
        <w:t>p</w:t>
      </w:r>
      <w:r w:rsidRPr="00AA7EE3">
        <w:t>rovisions</w:t>
      </w:r>
      <w:r w:rsidR="007B7894">
        <w:t>,</w:t>
      </w:r>
      <w:r w:rsidRPr="00AA7EE3">
        <w:t xml:space="preserve"> as there may be particular requirements that are different from those set out in the Standard Forms</w:t>
      </w:r>
    </w:p>
    <w:p w14:paraId="74F7D29F" w14:textId="77777777" w:rsidR="007606E9" w:rsidRPr="00AA7EE3" w:rsidRDefault="00B37166" w:rsidP="00AA7EE3">
      <w:pPr>
        <w:jc w:val="both"/>
      </w:pPr>
      <w:r>
        <w:pict w14:anchorId="7AD8E299">
          <v:rect id="_x0000_i1025" style="width:0;height:1.5pt" o:hralign="center" o:hrstd="t" o:hr="t" fillcolor="#a0a0a0" stroked="f"/>
        </w:pict>
      </w:r>
    </w:p>
    <w:p w14:paraId="625801DD" w14:textId="72D76C67" w:rsidR="00E8238F" w:rsidRDefault="007606E9" w:rsidP="00E8238F">
      <w:pPr>
        <w:jc w:val="both"/>
        <w:rPr>
          <w:b/>
          <w:bCs/>
        </w:rPr>
      </w:pPr>
      <w:r w:rsidRPr="007606E9">
        <w:rPr>
          <w:b/>
          <w:bCs/>
        </w:rPr>
        <w:t>1. Understanding</w:t>
      </w:r>
    </w:p>
    <w:p w14:paraId="78B42B71" w14:textId="1092D068" w:rsidR="007606E9" w:rsidRPr="007606E9" w:rsidRDefault="00DC7783" w:rsidP="009A3D6A">
      <w:pPr>
        <w:jc w:val="both"/>
      </w:pPr>
      <w:r>
        <w:t xml:space="preserve">Before </w:t>
      </w:r>
      <w:r w:rsidR="008B57C7">
        <w:t xml:space="preserve">referring any matter to </w:t>
      </w:r>
      <w:r w:rsidR="008C5C55">
        <w:t>Adjudication,</w:t>
      </w:r>
      <w:r w:rsidR="008B57C7">
        <w:t xml:space="preserve"> you will need to build up your case and </w:t>
      </w:r>
      <w:r w:rsidR="007E2550">
        <w:t xml:space="preserve">it is important that you have followed the recommendations given in </w:t>
      </w:r>
      <w:r>
        <w:t>P</w:t>
      </w:r>
      <w:r w:rsidR="007E2550">
        <w:t xml:space="preserve">ractice </w:t>
      </w:r>
      <w:r w:rsidR="004701E5">
        <w:t xml:space="preserve">Note 2 </w:t>
      </w:r>
      <w:r w:rsidR="007E2550">
        <w:t xml:space="preserve">in connection with the compilation of Records. There is a saying which is very relevant to this and that is </w:t>
      </w:r>
      <w:r w:rsidR="007E2550" w:rsidRPr="004701E5">
        <w:rPr>
          <w:b/>
          <w:bCs/>
        </w:rPr>
        <w:t>“</w:t>
      </w:r>
      <w:r w:rsidR="002757FC" w:rsidRPr="004701E5">
        <w:rPr>
          <w:b/>
          <w:bCs/>
        </w:rPr>
        <w:t>if you fail to prepare then prepare to fail</w:t>
      </w:r>
      <w:r w:rsidR="002757FC">
        <w:t xml:space="preserve">”. </w:t>
      </w:r>
      <w:r w:rsidR="00B041E3">
        <w:t>In our e</w:t>
      </w:r>
      <w:r w:rsidR="002757FC">
        <w:t>xperience</w:t>
      </w:r>
      <w:r w:rsidR="00961D8E">
        <w:t>,</w:t>
      </w:r>
      <w:r w:rsidR="002757FC">
        <w:t xml:space="preserve"> m</w:t>
      </w:r>
      <w:r w:rsidR="00B041E3">
        <w:t>o</w:t>
      </w:r>
      <w:r w:rsidR="002757FC">
        <w:t xml:space="preserve">st references to </w:t>
      </w:r>
      <w:r w:rsidR="003667CA">
        <w:t>A</w:t>
      </w:r>
      <w:r w:rsidR="002757FC">
        <w:t>djudication are not successful w</w:t>
      </w:r>
      <w:r w:rsidR="00365CDF">
        <w:t>here</w:t>
      </w:r>
      <w:r w:rsidR="002757FC">
        <w:t xml:space="preserve"> records are </w:t>
      </w:r>
      <w:r w:rsidR="008C5C55">
        <w:t>absent,</w:t>
      </w:r>
      <w:r w:rsidR="002757FC">
        <w:t xml:space="preserve"> and not enough time has gone into the</w:t>
      </w:r>
      <w:r w:rsidR="009B0A56">
        <w:t xml:space="preserve"> preparation of the case.</w:t>
      </w:r>
    </w:p>
    <w:p w14:paraId="32F38D81" w14:textId="77777777" w:rsidR="007606E9" w:rsidRPr="007606E9" w:rsidRDefault="00B37166" w:rsidP="00641E46">
      <w:pPr>
        <w:jc w:val="both"/>
      </w:pPr>
      <w:r>
        <w:pict w14:anchorId="6D79F820">
          <v:rect id="_x0000_i1026" style="width:0;height:1.5pt" o:hralign="center" o:hrstd="t" o:hr="t" fillcolor="#a0a0a0" stroked="f"/>
        </w:pict>
      </w:r>
    </w:p>
    <w:p w14:paraId="557D147C" w14:textId="1CF257F3" w:rsidR="007606E9" w:rsidRDefault="007606E9" w:rsidP="00E8238F">
      <w:pPr>
        <w:jc w:val="both"/>
        <w:rPr>
          <w:b/>
          <w:bCs/>
        </w:rPr>
      </w:pPr>
      <w:r w:rsidRPr="007606E9">
        <w:rPr>
          <w:b/>
          <w:bCs/>
        </w:rPr>
        <w:t xml:space="preserve">2. </w:t>
      </w:r>
      <w:r w:rsidR="00E91ABC">
        <w:rPr>
          <w:b/>
          <w:bCs/>
        </w:rPr>
        <w:t>How does it wor</w:t>
      </w:r>
      <w:r w:rsidR="003C6B47">
        <w:rPr>
          <w:b/>
          <w:bCs/>
        </w:rPr>
        <w:t>k</w:t>
      </w:r>
    </w:p>
    <w:p w14:paraId="26F3BB44" w14:textId="59CDAD56" w:rsidR="00365CDF" w:rsidRDefault="00BF034B" w:rsidP="00E8238F">
      <w:pPr>
        <w:jc w:val="both"/>
      </w:pPr>
      <w:r>
        <w:t>U</w:t>
      </w:r>
      <w:r w:rsidR="006C3473" w:rsidRPr="00BF034B">
        <w:t xml:space="preserve">ndernoted are the links to the </w:t>
      </w:r>
      <w:r w:rsidR="006C3473" w:rsidRPr="003667CA">
        <w:rPr>
          <w:b/>
          <w:bCs/>
        </w:rPr>
        <w:t>Low Value Adjudication process</w:t>
      </w:r>
      <w:r w:rsidR="006C3473" w:rsidRPr="00BF034B">
        <w:t xml:space="preserve"> and also the </w:t>
      </w:r>
      <w:r w:rsidR="006C3473" w:rsidRPr="003667CA">
        <w:rPr>
          <w:b/>
          <w:bCs/>
        </w:rPr>
        <w:t xml:space="preserve">Summary </w:t>
      </w:r>
      <w:r w:rsidR="00ED6C60" w:rsidRPr="003667CA">
        <w:rPr>
          <w:b/>
          <w:bCs/>
        </w:rPr>
        <w:t>A</w:t>
      </w:r>
      <w:r w:rsidR="006C3473" w:rsidRPr="003667CA">
        <w:rPr>
          <w:b/>
          <w:bCs/>
        </w:rPr>
        <w:t xml:space="preserve">djudication </w:t>
      </w:r>
      <w:r w:rsidR="006C3473" w:rsidRPr="00BF034B">
        <w:t>and you</w:t>
      </w:r>
      <w:r w:rsidR="003667CA">
        <w:t xml:space="preserve"> will </w:t>
      </w:r>
      <w:r w:rsidR="006C3473" w:rsidRPr="00BF034B">
        <w:t>also</w:t>
      </w:r>
      <w:r w:rsidR="002D74C1">
        <w:t xml:space="preserve"> find</w:t>
      </w:r>
      <w:r w:rsidR="006C3473" w:rsidRPr="00BF034B">
        <w:t xml:space="preserve"> on these links the necessary</w:t>
      </w:r>
      <w:r w:rsidRPr="00BF034B">
        <w:t xml:space="preserve"> application forms for the appointment of an </w:t>
      </w:r>
      <w:r w:rsidR="00B702C1">
        <w:t>A</w:t>
      </w:r>
      <w:r w:rsidRPr="00BF034B">
        <w:t>djudicator</w:t>
      </w:r>
      <w:r w:rsidR="00ED6C60">
        <w:t>.</w:t>
      </w:r>
    </w:p>
    <w:p w14:paraId="7898E5AF" w14:textId="05BE9F7A" w:rsidR="00054DBE" w:rsidRPr="00054DBE" w:rsidRDefault="00054DBE" w:rsidP="00054DBE">
      <w:pPr>
        <w:jc w:val="both"/>
      </w:pPr>
      <w:hyperlink r:id="rId11" w:history="1">
        <w:r w:rsidRPr="00054DBE">
          <w:rPr>
            <w:rStyle w:val="Hyperlink"/>
          </w:rPr>
          <w:t>Low value adjudication | Dispute resolution | RICS</w:t>
        </w:r>
      </w:hyperlink>
    </w:p>
    <w:p w14:paraId="47C05697" w14:textId="60C82C93" w:rsidR="00ED6C60" w:rsidRDefault="00054DBE" w:rsidP="00E8238F">
      <w:pPr>
        <w:jc w:val="both"/>
      </w:pPr>
      <w:hyperlink r:id="rId12" w:history="1">
        <w:r w:rsidRPr="00054DBE">
          <w:rPr>
            <w:rStyle w:val="Hyperlink"/>
          </w:rPr>
          <w:t>Summary Adjudication for Construction Claims | RICS</w:t>
        </w:r>
      </w:hyperlink>
    </w:p>
    <w:p w14:paraId="342ECF7B" w14:textId="74F84D19" w:rsidR="002D74C1" w:rsidRPr="00BF034B" w:rsidRDefault="009208DA" w:rsidP="00E8238F">
      <w:pPr>
        <w:jc w:val="both"/>
      </w:pPr>
      <w:hyperlink r:id="rId13" w:history="1">
        <w:r w:rsidRPr="009208DA">
          <w:rPr>
            <w:rStyle w:val="Hyperlink"/>
          </w:rPr>
          <w:t>ICE Dispute Resolution Services | Institution of Civil Engineers</w:t>
        </w:r>
      </w:hyperlink>
    </w:p>
    <w:p w14:paraId="4AFF235F" w14:textId="7BEB1778" w:rsidR="007606E9" w:rsidRDefault="007606E9" w:rsidP="00641E46">
      <w:pPr>
        <w:jc w:val="both"/>
        <w:rPr>
          <w:b/>
          <w:bCs/>
        </w:rPr>
      </w:pPr>
      <w:r w:rsidRPr="007606E9">
        <w:rPr>
          <w:b/>
          <w:bCs/>
        </w:rPr>
        <w:t>Final Advice</w:t>
      </w:r>
    </w:p>
    <w:p w14:paraId="42259F0D" w14:textId="4DD29365" w:rsidR="001C561B" w:rsidRPr="001C561B" w:rsidRDefault="001C561B" w:rsidP="00A42B39">
      <w:pPr>
        <w:pStyle w:val="ListParagraph"/>
        <w:numPr>
          <w:ilvl w:val="0"/>
          <w:numId w:val="7"/>
        </w:numPr>
        <w:jc w:val="both"/>
      </w:pPr>
      <w:r w:rsidRPr="001C561B">
        <w:t xml:space="preserve">Try </w:t>
      </w:r>
      <w:r w:rsidR="00C0336A">
        <w:t xml:space="preserve">to </w:t>
      </w:r>
      <w:r w:rsidR="00B702C1" w:rsidRPr="001C561B">
        <w:t>resolve the matter by using the</w:t>
      </w:r>
      <w:r w:rsidR="00B702C1">
        <w:rPr>
          <w:b/>
          <w:bCs/>
        </w:rPr>
        <w:t xml:space="preserve"> Conflict Avoidance Process </w:t>
      </w:r>
      <w:r w:rsidR="00B702C1" w:rsidRPr="001C561B">
        <w:t xml:space="preserve">and refer to </w:t>
      </w:r>
      <w:r w:rsidRPr="003879BE">
        <w:rPr>
          <w:b/>
          <w:bCs/>
        </w:rPr>
        <w:t>Practice Note 10</w:t>
      </w:r>
      <w:r w:rsidRPr="001C561B">
        <w:t xml:space="preserve"> .</w:t>
      </w:r>
    </w:p>
    <w:p w14:paraId="411EB3AF" w14:textId="623C9003" w:rsidR="003879BE" w:rsidRDefault="003879BE" w:rsidP="00750857">
      <w:pPr>
        <w:pStyle w:val="ListParagraph"/>
        <w:numPr>
          <w:ilvl w:val="0"/>
          <w:numId w:val="7"/>
        </w:numPr>
        <w:jc w:val="both"/>
      </w:pPr>
      <w:r w:rsidRPr="003879BE">
        <w:t xml:space="preserve">Take some external advice if you are </w:t>
      </w:r>
      <w:r w:rsidRPr="003879BE">
        <w:rPr>
          <w:b/>
          <w:bCs/>
        </w:rPr>
        <w:t>unsure of the process</w:t>
      </w:r>
      <w:r w:rsidRPr="003879BE">
        <w:t xml:space="preserve"> </w:t>
      </w:r>
      <w:r>
        <w:t>.</w:t>
      </w:r>
    </w:p>
    <w:p w14:paraId="624AB201" w14:textId="09871676" w:rsidR="00342F8A" w:rsidRPr="00BC2584" w:rsidRDefault="00BC2584" w:rsidP="00750857">
      <w:pPr>
        <w:pStyle w:val="ListParagraph"/>
        <w:numPr>
          <w:ilvl w:val="0"/>
          <w:numId w:val="7"/>
        </w:numPr>
        <w:jc w:val="both"/>
      </w:pPr>
      <w:r w:rsidRPr="00BC2584">
        <w:t>Refer to our</w:t>
      </w:r>
      <w:r>
        <w:rPr>
          <w:b/>
          <w:bCs/>
        </w:rPr>
        <w:t xml:space="preserve"> Practice Note 2 in </w:t>
      </w:r>
      <w:r w:rsidRPr="00BC2584">
        <w:t>relation to the importance of records</w:t>
      </w:r>
      <w:r w:rsidR="006D35EE" w:rsidRPr="00BC2584">
        <w:t>.</w:t>
      </w:r>
    </w:p>
    <w:p w14:paraId="7F3C4693" w14:textId="2576A178" w:rsidR="006D35EE" w:rsidRPr="00BC21E4" w:rsidRDefault="00A7157E" w:rsidP="00A42B39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>
        <w:t>You may f</w:t>
      </w:r>
      <w:r w:rsidR="00BC21E4">
        <w:t xml:space="preserve">ind that once you initiate Adjudication Proceedings that the other party will be </w:t>
      </w:r>
      <w:r w:rsidR="00BC21E4" w:rsidRPr="00BC21E4">
        <w:rPr>
          <w:b/>
          <w:bCs/>
        </w:rPr>
        <w:t xml:space="preserve">willing to discuss a settlement. </w:t>
      </w:r>
    </w:p>
    <w:p w14:paraId="46388D36" w14:textId="704C7795" w:rsidR="00C41078" w:rsidRDefault="00AD75B2" w:rsidP="00A42B39">
      <w:pPr>
        <w:pStyle w:val="ListParagraph"/>
        <w:numPr>
          <w:ilvl w:val="0"/>
          <w:numId w:val="7"/>
        </w:numPr>
        <w:jc w:val="both"/>
      </w:pPr>
      <w:r w:rsidRPr="00646479">
        <w:rPr>
          <w:b/>
          <w:bCs/>
        </w:rPr>
        <w:t>Learn</w:t>
      </w:r>
      <w:r>
        <w:t xml:space="preserve"> from your </w:t>
      </w:r>
      <w:r w:rsidR="00B8319C">
        <w:t>experiences.</w:t>
      </w:r>
    </w:p>
    <w:p w14:paraId="18060802" w14:textId="4C7E43AB" w:rsidR="00C41078" w:rsidRDefault="0086706B" w:rsidP="00641E46">
      <w:pPr>
        <w:jc w:val="both"/>
      </w:pPr>
      <w:r>
        <w:lastRenderedPageBreak/>
        <w:t xml:space="preserve">By implementing these best practices, contractors and subcontractors can ensure </w:t>
      </w:r>
      <w:r w:rsidR="00547BA3">
        <w:t xml:space="preserve">clarity, </w:t>
      </w:r>
      <w:r>
        <w:t xml:space="preserve">fair </w:t>
      </w:r>
      <w:r w:rsidR="00962777">
        <w:t>compensation,</w:t>
      </w:r>
      <w:r>
        <w:t xml:space="preserve"> and effective commercial management while minimising disputes.</w:t>
      </w:r>
    </w:p>
    <w:p w14:paraId="0B6101EC" w14:textId="6437D732" w:rsidR="00EC6110" w:rsidRDefault="001C7048" w:rsidP="00641E46">
      <w:pPr>
        <w:jc w:val="both"/>
      </w:pPr>
      <w:r>
        <w:t xml:space="preserve">For further information </w:t>
      </w:r>
      <w:r w:rsidR="00550BA5">
        <w:t xml:space="preserve">refer </w:t>
      </w:r>
      <w:r>
        <w:t xml:space="preserve">to the </w:t>
      </w:r>
      <w:r w:rsidRPr="00636840">
        <w:rPr>
          <w:b/>
          <w:bCs/>
        </w:rPr>
        <w:t>CICV Best Practice Guide</w:t>
      </w:r>
      <w:r w:rsidR="00550BA5">
        <w:rPr>
          <w:b/>
          <w:bCs/>
        </w:rPr>
        <w:t>, and CAPledge@rics.org</w:t>
      </w:r>
    </w:p>
    <w:p w14:paraId="4252F855" w14:textId="77777777" w:rsidR="005A62EC" w:rsidRPr="001136BC" w:rsidRDefault="005A62EC" w:rsidP="00641E46">
      <w:pPr>
        <w:jc w:val="both"/>
      </w:pPr>
    </w:p>
    <w:p w14:paraId="74771D60" w14:textId="77777777" w:rsidR="007606E9" w:rsidRPr="007606E9" w:rsidRDefault="00B37166" w:rsidP="007606E9">
      <w:r>
        <w:pict w14:anchorId="4C807CE3">
          <v:rect id="_x0000_i1027" style="width:0;height:1.5pt" o:hralign="center" o:hrstd="t" o:hr="t" fillcolor="#a0a0a0" stroked="f"/>
        </w:pict>
      </w:r>
    </w:p>
    <w:p w14:paraId="18AED826" w14:textId="414E07AA" w:rsidR="007606E9" w:rsidRPr="007606E9" w:rsidRDefault="007606E9" w:rsidP="007606E9">
      <w:pPr>
        <w:rPr>
          <w:b/>
          <w:bCs/>
        </w:rPr>
      </w:pPr>
      <w:r w:rsidRPr="007606E9">
        <w:rPr>
          <w:b/>
          <w:bCs/>
        </w:rPr>
        <w:t>Joint Authors:</w:t>
      </w:r>
    </w:p>
    <w:p w14:paraId="26E985D7" w14:textId="6A107D30" w:rsidR="00B37166" w:rsidRDefault="007606E9" w:rsidP="00A64F3F">
      <w:r w:rsidRPr="007606E9">
        <w:rPr>
          <w:b/>
          <w:bCs/>
        </w:rPr>
        <w:t>Len Bunton</w:t>
      </w:r>
      <w:r w:rsidRPr="007606E9">
        <w:t xml:space="preserve"> – len@buntonconsulting.co.uk</w:t>
      </w:r>
      <w:r w:rsidRPr="007606E9">
        <w:br/>
      </w:r>
      <w:r w:rsidRPr="007606E9">
        <w:rPr>
          <w:b/>
          <w:bCs/>
        </w:rPr>
        <w:t>Sean Bradley</w:t>
      </w:r>
      <w:r w:rsidRPr="007606E9">
        <w:t xml:space="preserve"> – sean@seanbradleyconsultancy.co.uk</w:t>
      </w:r>
      <w:r w:rsidRPr="007606E9">
        <w:br/>
      </w:r>
      <w:r w:rsidRPr="007606E9">
        <w:rPr>
          <w:b/>
          <w:bCs/>
        </w:rPr>
        <w:t>Mark Holden-Smith</w:t>
      </w:r>
      <w:r w:rsidRPr="007606E9">
        <w:t xml:space="preserve"> – </w:t>
      </w:r>
      <w:hyperlink r:id="rId14" w:history="1">
        <w:r w:rsidR="00B37166" w:rsidRPr="00BB4590">
          <w:rPr>
            <w:rStyle w:val="Hyperlink"/>
          </w:rPr>
          <w:t>mark@holden-smith.com</w:t>
        </w:r>
      </w:hyperlink>
    </w:p>
    <w:p w14:paraId="6CDE1D9E" w14:textId="77777777" w:rsidR="00B37166" w:rsidRDefault="00B37166">
      <w:r>
        <w:br w:type="page"/>
      </w:r>
    </w:p>
    <w:p w14:paraId="60314362" w14:textId="67613EAE" w:rsidR="007B5EB2" w:rsidRDefault="00B37166" w:rsidP="00A64F3F">
      <w:pPr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149B813" wp14:editId="196CCDF4">
            <wp:simplePos x="0" y="0"/>
            <wp:positionH relativeFrom="column">
              <wp:posOffset>-914400</wp:posOffset>
            </wp:positionH>
            <wp:positionV relativeFrom="paragraph">
              <wp:posOffset>-1178747</wp:posOffset>
            </wp:positionV>
            <wp:extent cx="7541231" cy="10665042"/>
            <wp:effectExtent l="0" t="0" r="3175" b="3175"/>
            <wp:wrapNone/>
            <wp:docPr id="18971344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34435" name="Picture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31" cy="1066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C99B" w14:textId="77777777" w:rsidR="00EE01A9" w:rsidRDefault="00EE01A9"/>
    <w:p w14:paraId="186C2681" w14:textId="5EF5CB74" w:rsidR="00EE01A9" w:rsidRDefault="00EE01A9"/>
    <w:p w14:paraId="46B2D0CF" w14:textId="5138D221" w:rsidR="00EE01A9" w:rsidRDefault="00B37166" w:rsidP="00B37166">
      <w:pPr>
        <w:tabs>
          <w:tab w:val="left" w:pos="3895"/>
        </w:tabs>
      </w:pPr>
      <w:r>
        <w:tab/>
      </w:r>
    </w:p>
    <w:sectPr w:rsidR="00EE01A9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1DF9B" w14:textId="77777777" w:rsidR="00652878" w:rsidRDefault="00652878" w:rsidP="00D94097">
      <w:pPr>
        <w:spacing w:after="0" w:line="240" w:lineRule="auto"/>
      </w:pPr>
      <w:r>
        <w:separator/>
      </w:r>
    </w:p>
  </w:endnote>
  <w:endnote w:type="continuationSeparator" w:id="0">
    <w:p w14:paraId="40D5C06B" w14:textId="77777777" w:rsidR="00652878" w:rsidRDefault="00652878" w:rsidP="00D9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EFD6" w14:textId="4DBE0499" w:rsidR="0028311D" w:rsidRDefault="002831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853FD4B" wp14:editId="014B0E93">
              <wp:simplePos x="0" y="0"/>
              <wp:positionH relativeFrom="column">
                <wp:posOffset>3972393</wp:posOffset>
              </wp:positionH>
              <wp:positionV relativeFrom="paragraph">
                <wp:posOffset>-61106</wp:posOffset>
              </wp:positionV>
              <wp:extent cx="1951355" cy="594360"/>
              <wp:effectExtent l="0" t="0" r="0" b="0"/>
              <wp:wrapNone/>
              <wp:docPr id="80869689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1355" cy="594360"/>
                        <a:chOff x="0" y="0"/>
                        <a:chExt cx="1951355" cy="594360"/>
                      </a:xfrm>
                    </wpg:grpSpPr>
                    <pic:pic xmlns:pic="http://schemas.openxmlformats.org/drawingml/2006/picture">
                      <pic:nvPicPr>
                        <pic:cNvPr id="56167176" name="Picture 1" descr="A close-up of a chai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00" y="0"/>
                          <a:ext cx="9988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9855963" name="Picture 2" descr="A logo with a chain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87693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409E34" id="Group 3" o:spid="_x0000_s1026" style="position:absolute;margin-left:312.8pt;margin-top:-4.8pt;width:153.65pt;height:46.8pt;z-index:-251653120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<v:imagedata r:id="rId5" r:href="rId6"/>
              </v:shape>
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<v:imagedata r:id="rId7" r:href="rId8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03E5D" w14:textId="77777777" w:rsidR="00652878" w:rsidRDefault="00652878" w:rsidP="00D94097">
      <w:pPr>
        <w:spacing w:after="0" w:line="240" w:lineRule="auto"/>
      </w:pPr>
      <w:r>
        <w:separator/>
      </w:r>
    </w:p>
  </w:footnote>
  <w:footnote w:type="continuationSeparator" w:id="0">
    <w:p w14:paraId="40DFDB0C" w14:textId="77777777" w:rsidR="00652878" w:rsidRDefault="00652878" w:rsidP="00D9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DC039" w14:textId="520CB27A" w:rsidR="00D94097" w:rsidRDefault="0028311D" w:rsidP="00D9409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692DDCD" wp14:editId="511838ED">
          <wp:simplePos x="0" y="0"/>
          <wp:positionH relativeFrom="column">
            <wp:posOffset>4736298</wp:posOffset>
          </wp:positionH>
          <wp:positionV relativeFrom="paragraph">
            <wp:posOffset>-153181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09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5150C" wp14:editId="4C27D66D">
              <wp:simplePos x="0" y="0"/>
              <wp:positionH relativeFrom="column">
                <wp:posOffset>-415636</wp:posOffset>
              </wp:positionH>
              <wp:positionV relativeFrom="paragraph">
                <wp:posOffset>-138315</wp:posOffset>
              </wp:positionV>
              <wp:extent cx="1221105" cy="617682"/>
              <wp:effectExtent l="0" t="0" r="0" b="0"/>
              <wp:wrapNone/>
              <wp:docPr id="7884230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1105" cy="6176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B8D88" w14:textId="4DAB2656" w:rsidR="00D94097" w:rsidRDefault="00D94097" w:rsidP="00D940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515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2.75pt;margin-top:-10.9pt;width:96.1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" filled="f" stroked="f" strokeweight=".5pt">
              <v:textbox>
                <w:txbxContent>
                  <w:p w14:paraId="68AB8D88" w14:textId="4DAB2656" w:rsidR="00D94097" w:rsidRDefault="00D94097" w:rsidP="00D94097"/>
                </w:txbxContent>
              </v:textbox>
            </v:shape>
          </w:pict>
        </mc:Fallback>
      </mc:AlternateContent>
    </w:r>
    <w:r w:rsidR="00D94097">
      <w:rPr>
        <w:noProof/>
      </w:rPr>
      <w:t xml:space="preserve"> </w:t>
    </w:r>
    <w:r w:rsidR="00D94097">
      <w:rPr>
        <w:rFonts w:ascii="Segoe UI" w:hAnsi="Segoe UI" w:cs="Segoe UI"/>
        <w:noProof/>
        <w:sz w:val="20"/>
        <w:szCs w:val="20"/>
      </w:rPr>
      <w:t xml:space="preserve">  </w:t>
    </w:r>
    <w:r w:rsidR="00D94097">
      <w:rPr>
        <w:rFonts w:ascii="Segoe UI" w:hAnsi="Segoe UI" w:cs="Segoe UI"/>
        <w:noProof/>
        <w:sz w:val="20"/>
        <w:szCs w:val="20"/>
      </w:rPr>
      <w:tab/>
    </w:r>
    <w:r w:rsidR="00D94097">
      <w:rPr>
        <w:rFonts w:ascii="Segoe UI" w:hAnsi="Segoe UI" w:cs="Segoe UI"/>
        <w:noProof/>
        <w:sz w:val="20"/>
        <w:szCs w:val="20"/>
      </w:rPr>
      <w:tab/>
    </w:r>
  </w:p>
  <w:p w14:paraId="797234F9" w14:textId="0FF8AC24" w:rsidR="00D94097" w:rsidRDefault="00D94097">
    <w:pPr>
      <w:pStyle w:val="Header"/>
    </w:pPr>
  </w:p>
  <w:p w14:paraId="5C8463E3" w14:textId="613EEE2D" w:rsidR="00C128CA" w:rsidRDefault="00C128CA">
    <w:pPr>
      <w:pStyle w:val="Header"/>
    </w:pPr>
  </w:p>
  <w:p w14:paraId="310D0120" w14:textId="77777777" w:rsidR="00C128CA" w:rsidRDefault="00C1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CB3"/>
    <w:multiLevelType w:val="hybridMultilevel"/>
    <w:tmpl w:val="4B9E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D4C"/>
    <w:multiLevelType w:val="hybridMultilevel"/>
    <w:tmpl w:val="33ACB0B8"/>
    <w:lvl w:ilvl="0" w:tplc="2004AF94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="Segoe UI Emoj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E9B"/>
    <w:multiLevelType w:val="hybridMultilevel"/>
    <w:tmpl w:val="8C04F2E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3CAF40F6"/>
    <w:multiLevelType w:val="multilevel"/>
    <w:tmpl w:val="B380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71E20"/>
    <w:multiLevelType w:val="hybridMultilevel"/>
    <w:tmpl w:val="C47E917A"/>
    <w:lvl w:ilvl="0" w:tplc="51B88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C2077"/>
    <w:multiLevelType w:val="multilevel"/>
    <w:tmpl w:val="3BA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016D5"/>
    <w:multiLevelType w:val="hybridMultilevel"/>
    <w:tmpl w:val="005C1E1C"/>
    <w:lvl w:ilvl="0" w:tplc="51B885C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38303">
    <w:abstractNumId w:val="1"/>
  </w:num>
  <w:num w:numId="2" w16cid:durableId="1591818138">
    <w:abstractNumId w:val="3"/>
  </w:num>
  <w:num w:numId="3" w16cid:durableId="2133013350">
    <w:abstractNumId w:val="5"/>
  </w:num>
  <w:num w:numId="4" w16cid:durableId="1377006754">
    <w:abstractNumId w:val="2"/>
  </w:num>
  <w:num w:numId="5" w16cid:durableId="2109547115">
    <w:abstractNumId w:val="6"/>
  </w:num>
  <w:num w:numId="6" w16cid:durableId="786386757">
    <w:abstractNumId w:val="4"/>
  </w:num>
  <w:num w:numId="7" w16cid:durableId="13061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53ECC7E-AE71-49A3-B5C1-7744AD9AC497}"/>
    <w:docVar w:name="dgnword-eventsink" w:val="2235394584256"/>
  </w:docVars>
  <w:rsids>
    <w:rsidRoot w:val="007606E9"/>
    <w:rsid w:val="00010D4D"/>
    <w:rsid w:val="0002287E"/>
    <w:rsid w:val="0002657C"/>
    <w:rsid w:val="00052B0E"/>
    <w:rsid w:val="00054DBE"/>
    <w:rsid w:val="00075F3B"/>
    <w:rsid w:val="0008660A"/>
    <w:rsid w:val="00091B5B"/>
    <w:rsid w:val="000E6605"/>
    <w:rsid w:val="001105F0"/>
    <w:rsid w:val="001136BC"/>
    <w:rsid w:val="00141A3F"/>
    <w:rsid w:val="00142A4B"/>
    <w:rsid w:val="00157D01"/>
    <w:rsid w:val="001A386B"/>
    <w:rsid w:val="001C561B"/>
    <w:rsid w:val="001C7048"/>
    <w:rsid w:val="002435CD"/>
    <w:rsid w:val="0026042A"/>
    <w:rsid w:val="00266483"/>
    <w:rsid w:val="002757FC"/>
    <w:rsid w:val="0028311D"/>
    <w:rsid w:val="00295B73"/>
    <w:rsid w:val="002A6AD0"/>
    <w:rsid w:val="002B3025"/>
    <w:rsid w:val="002C6FD1"/>
    <w:rsid w:val="002D74C1"/>
    <w:rsid w:val="002F76C6"/>
    <w:rsid w:val="00342F8A"/>
    <w:rsid w:val="00365CDF"/>
    <w:rsid w:val="003667CA"/>
    <w:rsid w:val="0037326A"/>
    <w:rsid w:val="003879BE"/>
    <w:rsid w:val="003B031D"/>
    <w:rsid w:val="003B756F"/>
    <w:rsid w:val="003C0D54"/>
    <w:rsid w:val="003C6B47"/>
    <w:rsid w:val="003D77C3"/>
    <w:rsid w:val="003F669D"/>
    <w:rsid w:val="00403359"/>
    <w:rsid w:val="004051C6"/>
    <w:rsid w:val="004241DA"/>
    <w:rsid w:val="00424F52"/>
    <w:rsid w:val="00452B00"/>
    <w:rsid w:val="00456B58"/>
    <w:rsid w:val="004701E5"/>
    <w:rsid w:val="004B1E33"/>
    <w:rsid w:val="004B2702"/>
    <w:rsid w:val="004E03ED"/>
    <w:rsid w:val="005344F4"/>
    <w:rsid w:val="005372A3"/>
    <w:rsid w:val="00547BA3"/>
    <w:rsid w:val="00550BA5"/>
    <w:rsid w:val="0055537B"/>
    <w:rsid w:val="00563272"/>
    <w:rsid w:val="00593F79"/>
    <w:rsid w:val="005A62EC"/>
    <w:rsid w:val="005E331B"/>
    <w:rsid w:val="005F3919"/>
    <w:rsid w:val="005F4A8F"/>
    <w:rsid w:val="00600112"/>
    <w:rsid w:val="006036FB"/>
    <w:rsid w:val="00636840"/>
    <w:rsid w:val="00641E46"/>
    <w:rsid w:val="00646479"/>
    <w:rsid w:val="00652878"/>
    <w:rsid w:val="006C3473"/>
    <w:rsid w:val="006D35EE"/>
    <w:rsid w:val="006D3A47"/>
    <w:rsid w:val="006E2FAB"/>
    <w:rsid w:val="00706F6B"/>
    <w:rsid w:val="007133E0"/>
    <w:rsid w:val="007214A9"/>
    <w:rsid w:val="00743519"/>
    <w:rsid w:val="007606E9"/>
    <w:rsid w:val="00783A61"/>
    <w:rsid w:val="007B5EB2"/>
    <w:rsid w:val="007B7894"/>
    <w:rsid w:val="007E2550"/>
    <w:rsid w:val="00807F63"/>
    <w:rsid w:val="00812EEB"/>
    <w:rsid w:val="00813EA1"/>
    <w:rsid w:val="0085164E"/>
    <w:rsid w:val="00852E96"/>
    <w:rsid w:val="0086706B"/>
    <w:rsid w:val="00873B95"/>
    <w:rsid w:val="008B57C7"/>
    <w:rsid w:val="008C5C55"/>
    <w:rsid w:val="008C6776"/>
    <w:rsid w:val="008E1538"/>
    <w:rsid w:val="00901591"/>
    <w:rsid w:val="009208DA"/>
    <w:rsid w:val="00925CAB"/>
    <w:rsid w:val="00961D8E"/>
    <w:rsid w:val="00962777"/>
    <w:rsid w:val="00972704"/>
    <w:rsid w:val="009A3D6A"/>
    <w:rsid w:val="009B0A56"/>
    <w:rsid w:val="009F5F88"/>
    <w:rsid w:val="00A01B0D"/>
    <w:rsid w:val="00A25B6C"/>
    <w:rsid w:val="00A36F0C"/>
    <w:rsid w:val="00A42B39"/>
    <w:rsid w:val="00A56AF6"/>
    <w:rsid w:val="00A61269"/>
    <w:rsid w:val="00A64F3F"/>
    <w:rsid w:val="00A7157E"/>
    <w:rsid w:val="00A7282B"/>
    <w:rsid w:val="00A77389"/>
    <w:rsid w:val="00AA7EE3"/>
    <w:rsid w:val="00AD0698"/>
    <w:rsid w:val="00AD6912"/>
    <w:rsid w:val="00AD75B2"/>
    <w:rsid w:val="00B041E3"/>
    <w:rsid w:val="00B37166"/>
    <w:rsid w:val="00B66C59"/>
    <w:rsid w:val="00B67A46"/>
    <w:rsid w:val="00B702C1"/>
    <w:rsid w:val="00B8319C"/>
    <w:rsid w:val="00B97675"/>
    <w:rsid w:val="00BB2E2F"/>
    <w:rsid w:val="00BC21E4"/>
    <w:rsid w:val="00BC2584"/>
    <w:rsid w:val="00BE1446"/>
    <w:rsid w:val="00BF034B"/>
    <w:rsid w:val="00BF23D6"/>
    <w:rsid w:val="00BF2773"/>
    <w:rsid w:val="00C01F07"/>
    <w:rsid w:val="00C0336A"/>
    <w:rsid w:val="00C128CA"/>
    <w:rsid w:val="00C27C58"/>
    <w:rsid w:val="00C41078"/>
    <w:rsid w:val="00C70A39"/>
    <w:rsid w:val="00CA0A07"/>
    <w:rsid w:val="00CC25DD"/>
    <w:rsid w:val="00D01E4E"/>
    <w:rsid w:val="00D052C8"/>
    <w:rsid w:val="00D44E8F"/>
    <w:rsid w:val="00D84E1B"/>
    <w:rsid w:val="00D94097"/>
    <w:rsid w:val="00DC11A5"/>
    <w:rsid w:val="00DC7783"/>
    <w:rsid w:val="00E0574C"/>
    <w:rsid w:val="00E201DA"/>
    <w:rsid w:val="00E66E64"/>
    <w:rsid w:val="00E7147F"/>
    <w:rsid w:val="00E8238F"/>
    <w:rsid w:val="00E84C69"/>
    <w:rsid w:val="00E91ABC"/>
    <w:rsid w:val="00EA5AF2"/>
    <w:rsid w:val="00EC6110"/>
    <w:rsid w:val="00ED6C60"/>
    <w:rsid w:val="00EE01A9"/>
    <w:rsid w:val="00EE1138"/>
    <w:rsid w:val="00EE60C1"/>
    <w:rsid w:val="00F339D9"/>
    <w:rsid w:val="00F36664"/>
    <w:rsid w:val="00F727A2"/>
    <w:rsid w:val="00F77E11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20CC1"/>
  <w15:chartTrackingRefBased/>
  <w15:docId w15:val="{31B3192D-1133-4362-A5CC-1419460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6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6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097"/>
  </w:style>
  <w:style w:type="paragraph" w:styleId="Footer">
    <w:name w:val="footer"/>
    <w:basedOn w:val="Normal"/>
    <w:link w:val="FooterChar"/>
    <w:uiPriority w:val="99"/>
    <w:unhideWhenUsed/>
    <w:rsid w:val="00D94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sputeresolution.ice.org.uk/guidance-and-procedur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cs.org/dispute-resolution-service/drs-services/adjudication-services/summary-adjudica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cs.org/dispute-resolution-service/drs-services/adjudication-services/low-value-adjudication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k@holden-smith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9E0AA-7FFA-4150-B0FA-5A2D574DC08B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2.xml><?xml version="1.0" encoding="utf-8"?>
<ds:datastoreItem xmlns:ds="http://schemas.openxmlformats.org/officeDocument/2006/customXml" ds:itemID="{BF614ED2-8A4A-4800-B468-63CF3732E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0960E-5052-4F9E-8B67-FDB00629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16</cp:revision>
  <dcterms:created xsi:type="dcterms:W3CDTF">2025-03-07T15:48:00Z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