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E931" w14:textId="6E4A492F" w:rsidR="009C54EA" w:rsidRDefault="009C54EA" w:rsidP="00640935">
      <w:pPr>
        <w:tabs>
          <w:tab w:val="center" w:pos="4513"/>
        </w:tabs>
        <w:rPr>
          <w:b/>
          <w:bCs/>
          <w:u w:val="singl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0A04BA9" wp14:editId="40922852">
            <wp:simplePos x="0" y="0"/>
            <wp:positionH relativeFrom="column">
              <wp:posOffset>-899410</wp:posOffset>
            </wp:positionH>
            <wp:positionV relativeFrom="paragraph">
              <wp:posOffset>-1178810</wp:posOffset>
            </wp:positionV>
            <wp:extent cx="7543799" cy="10668675"/>
            <wp:effectExtent l="0" t="0" r="635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br w:type="page"/>
      </w:r>
      <w:r w:rsidR="00640935">
        <w:rPr>
          <w:b/>
          <w:bCs/>
          <w:u w:val="single"/>
        </w:rPr>
        <w:lastRenderedPageBreak/>
        <w:tab/>
      </w:r>
    </w:p>
    <w:p w14:paraId="15685A4B" w14:textId="4BE8CC35" w:rsidR="006E5173" w:rsidRPr="00086D03" w:rsidRDefault="006E5173" w:rsidP="00CD393A">
      <w:pPr>
        <w:rPr>
          <w:b/>
          <w:bCs/>
          <w:u w:val="single"/>
        </w:rPr>
      </w:pPr>
      <w:r w:rsidRPr="00086D03">
        <w:rPr>
          <w:b/>
          <w:bCs/>
          <w:u w:val="single"/>
        </w:rPr>
        <w:t>CICV Best Practice Guide – Practice Note 4: Variations &amp; Compensation Events</w:t>
      </w:r>
    </w:p>
    <w:p w14:paraId="5F5C9C5A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Introduction</w:t>
      </w:r>
    </w:p>
    <w:p w14:paraId="7EE70FDE" w14:textId="77777777" w:rsidR="006E5173" w:rsidRPr="006E5173" w:rsidRDefault="006E5173" w:rsidP="00CD393A">
      <w:r w:rsidRPr="006E5173">
        <w:t xml:space="preserve">This Practice Note highlights the risks associated with variations in construction contracts, including </w:t>
      </w:r>
      <w:r w:rsidRPr="006E5173">
        <w:rPr>
          <w:b/>
          <w:bCs/>
        </w:rPr>
        <w:t>onerous clauses, conditional precedents, and the risks of performing work without formal instructions</w:t>
      </w:r>
      <w:r w:rsidRPr="006E5173">
        <w:t xml:space="preserve">. It builds upon </w:t>
      </w:r>
      <w:r w:rsidRPr="006E5173">
        <w:rPr>
          <w:b/>
          <w:bCs/>
        </w:rPr>
        <w:t>Practice Note 1 on Notices</w:t>
      </w:r>
      <w:r w:rsidRPr="006E5173">
        <w:t xml:space="preserve"> and reinforces the importance of the </w:t>
      </w:r>
      <w:r w:rsidRPr="006E5173">
        <w:rPr>
          <w:b/>
          <w:bCs/>
        </w:rPr>
        <w:t>"no instruction, no work"</w:t>
      </w:r>
      <w:r w:rsidRPr="006E5173">
        <w:t xml:space="preserve"> principle.</w:t>
      </w:r>
    </w:p>
    <w:p w14:paraId="0158BC6D" w14:textId="61D24DA1" w:rsidR="006E5173" w:rsidRPr="006E5173" w:rsidRDefault="006E5173" w:rsidP="00CD393A">
      <w:r w:rsidRPr="006E5173">
        <w:t xml:space="preserve">A key challenge for both </w:t>
      </w:r>
      <w:r w:rsidRPr="006E5173">
        <w:rPr>
          <w:b/>
          <w:bCs/>
        </w:rPr>
        <w:t>contractors and subcontractors</w:t>
      </w:r>
      <w:r w:rsidRPr="006E5173">
        <w:t xml:space="preserve"> is completing work on-site only to face disputes over payment. This </w:t>
      </w:r>
      <w:r w:rsidR="006A151F">
        <w:t>PN</w:t>
      </w:r>
      <w:r w:rsidRPr="006E5173">
        <w:t xml:space="preserve"> outlines how to </w:t>
      </w:r>
      <w:r w:rsidRPr="006E5173">
        <w:rPr>
          <w:b/>
          <w:bCs/>
        </w:rPr>
        <w:t>identify and mitigate contractual risks related to variations</w:t>
      </w:r>
      <w:r w:rsidRPr="006E5173">
        <w:t>, ensuring proper documentation and adherence to contract terms.</w:t>
      </w:r>
    </w:p>
    <w:p w14:paraId="44414FFA" w14:textId="77777777" w:rsidR="006E5173" w:rsidRPr="006E5173" w:rsidRDefault="001E3202" w:rsidP="00CD393A">
      <w:r>
        <w:pict w14:anchorId="71A4860F">
          <v:rect id="_x0000_i1025" style="width:0;height:1.5pt" o:hrstd="t" o:hr="t" fillcolor="#a0a0a0" stroked="f"/>
        </w:pict>
      </w:r>
    </w:p>
    <w:p w14:paraId="18A6145F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1. Understanding Variations and Instructions</w:t>
      </w:r>
    </w:p>
    <w:p w14:paraId="36684AB1" w14:textId="37E646DF" w:rsidR="006E5173" w:rsidRPr="006E5173" w:rsidRDefault="006E5173" w:rsidP="00CD393A">
      <w:r w:rsidRPr="006E5173">
        <w:t xml:space="preserve">One of the most common clauses in subcontracts </w:t>
      </w:r>
      <w:r w:rsidR="006A151F">
        <w:t>requires</w:t>
      </w:r>
      <w:r w:rsidRPr="006E5173">
        <w:t xml:space="preserve"> that </w:t>
      </w:r>
      <w:r w:rsidRPr="006E5173">
        <w:rPr>
          <w:b/>
          <w:bCs/>
        </w:rPr>
        <w:t>all variations must be formally confirmed in writing</w:t>
      </w:r>
      <w:r w:rsidRPr="006E5173">
        <w:t xml:space="preserve">. In many cases, failure to obtain a </w:t>
      </w:r>
      <w:r w:rsidRPr="006E5173">
        <w:rPr>
          <w:b/>
          <w:bCs/>
        </w:rPr>
        <w:t>written variation order</w:t>
      </w:r>
      <w:r w:rsidRPr="006E5173">
        <w:t xml:space="preserve"> may result in the subcontractor having </w:t>
      </w:r>
      <w:r w:rsidRPr="006E5173">
        <w:rPr>
          <w:b/>
          <w:bCs/>
        </w:rPr>
        <w:t>no entitlement to additional time or money</w:t>
      </w:r>
      <w:r w:rsidRPr="006E5173">
        <w:t>.</w:t>
      </w:r>
    </w:p>
    <w:p w14:paraId="5A063B65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How Variations Typically Arise:</w:t>
      </w:r>
    </w:p>
    <w:p w14:paraId="3C217C64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 xml:space="preserve">Site managers often issue </w:t>
      </w:r>
      <w:r w:rsidRPr="006E5173">
        <w:rPr>
          <w:b/>
          <w:bCs/>
        </w:rPr>
        <w:t>verbal instructions</w:t>
      </w:r>
      <w:r w:rsidRPr="006E5173">
        <w:t xml:space="preserve"> on-site for additional work.</w:t>
      </w:r>
    </w:p>
    <w:p w14:paraId="6BADD4FA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>Subcontractors, keen to progress the project, proceed without formal written approval.</w:t>
      </w:r>
    </w:p>
    <w:p w14:paraId="06D0740F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>When the final account is settled, contractors dispute or reject the variation due to a lack of records or proper authorisation.</w:t>
      </w:r>
    </w:p>
    <w:p w14:paraId="06011308" w14:textId="77777777" w:rsidR="006E5173" w:rsidRPr="006E5173" w:rsidRDefault="001E3202" w:rsidP="00CD393A">
      <w:r>
        <w:pict w14:anchorId="4FB7E27D">
          <v:rect id="_x0000_i1026" style="width:0;height:1.5pt" o:hrstd="t" o:hr="t" fillcolor="#a0a0a0" stroked="f"/>
        </w:pict>
      </w:r>
    </w:p>
    <w:p w14:paraId="7243DA7E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2. Best Practices for Managing Variations</w:t>
      </w:r>
    </w:p>
    <w:p w14:paraId="302203A5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Step 1: Always Obtain Written Instructions</w:t>
      </w:r>
    </w:p>
    <w:p w14:paraId="3CDF4CFC" w14:textId="77777777" w:rsidR="006A151F" w:rsidRDefault="006E5173" w:rsidP="00CD393A">
      <w:r w:rsidRPr="006E5173">
        <w:t>If a verbal instruction is given on-site:</w:t>
      </w:r>
    </w:p>
    <w:p w14:paraId="073B4677" w14:textId="77777777" w:rsidR="006A151F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t>Request a formal site instruction (SI) in writing</w:t>
      </w:r>
      <w:r w:rsidRPr="006E5173">
        <w:t xml:space="preserve"> from the site manager.</w:t>
      </w:r>
      <w:r w:rsidRPr="006E5173">
        <w:br/>
      </w:r>
      <w:r w:rsidRPr="006A151F">
        <w:rPr>
          <w:b/>
          <w:bCs/>
        </w:rPr>
        <w:t>Email the Contractor’s Quantity Surveyor (QS)</w:t>
      </w:r>
      <w:r w:rsidRPr="006E5173">
        <w:t>, seeking confirmation that it is a variation.</w:t>
      </w:r>
    </w:p>
    <w:p w14:paraId="6FD1E906" w14:textId="77777777" w:rsidR="006A151F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t>Provide a cost estimate and request written approval</w:t>
      </w:r>
      <w:r w:rsidRPr="006E5173">
        <w:t xml:space="preserve"> before proceeding.</w:t>
      </w:r>
    </w:p>
    <w:p w14:paraId="2AE881DF" w14:textId="2A99F828" w:rsidR="006E5173" w:rsidRPr="006E5173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lastRenderedPageBreak/>
        <w:t>If no written instruction is received, do not proceed</w:t>
      </w:r>
      <w:r w:rsidRPr="006E5173">
        <w:t xml:space="preserve"> unless the subcontract allows the subcontractor to issue a variation notice. If the contract </w:t>
      </w:r>
      <w:r w:rsidRPr="006A151F">
        <w:rPr>
          <w:b/>
          <w:bCs/>
        </w:rPr>
        <w:t>requires written approval</w:t>
      </w:r>
      <w:r w:rsidRPr="006E5173">
        <w:t>, failing to obtain it may mean the work will not be paid for.</w:t>
      </w:r>
    </w:p>
    <w:p w14:paraId="34CB0D2C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Step 2: Clarify the Contractor’s Position</w:t>
      </w:r>
    </w:p>
    <w:p w14:paraId="6CC51D8F" w14:textId="77777777" w:rsidR="006E5173" w:rsidRPr="006E5173" w:rsidRDefault="006E5173" w:rsidP="00CD393A">
      <w:r w:rsidRPr="006E5173">
        <w:t xml:space="preserve">If the </w:t>
      </w:r>
      <w:r w:rsidRPr="006E5173">
        <w:rPr>
          <w:b/>
          <w:bCs/>
        </w:rPr>
        <w:t>contractor refuses or delays issuing an instruction</w:t>
      </w:r>
      <w:r w:rsidRPr="006E5173">
        <w:t xml:space="preserve">, this is a </w:t>
      </w:r>
      <w:r w:rsidRPr="006E5173">
        <w:rPr>
          <w:b/>
          <w:bCs/>
        </w:rPr>
        <w:t>red flag</w:t>
      </w:r>
      <w:r w:rsidRPr="006E5173">
        <w:t xml:space="preserve"> and a potential dispute risk. In such cases:</w:t>
      </w:r>
    </w:p>
    <w:p w14:paraId="610BE937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t xml:space="preserve">Explain that the </w:t>
      </w:r>
      <w:r w:rsidRPr="006E5173">
        <w:rPr>
          <w:b/>
          <w:bCs/>
        </w:rPr>
        <w:t>contract requires written approval</w:t>
      </w:r>
      <w:r w:rsidRPr="006E5173">
        <w:t xml:space="preserve"> to avoid future disputes.</w:t>
      </w:r>
    </w:p>
    <w:p w14:paraId="20FEBCF9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t xml:space="preserve">If the contractor insists that work must start without a written instruction, </w:t>
      </w:r>
      <w:r w:rsidRPr="006E5173">
        <w:rPr>
          <w:b/>
          <w:bCs/>
        </w:rPr>
        <w:t>escalate the issue immediately</w:t>
      </w:r>
      <w:r w:rsidRPr="006E5173">
        <w:t>.</w:t>
      </w:r>
    </w:p>
    <w:p w14:paraId="67A455B3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rPr>
          <w:b/>
          <w:bCs/>
        </w:rPr>
        <w:t>Document the request and refusal</w:t>
      </w:r>
      <w:r w:rsidRPr="006E5173">
        <w:t xml:space="preserve"> for future reference.</w:t>
      </w:r>
    </w:p>
    <w:p w14:paraId="2678AB8A" w14:textId="77777777" w:rsidR="006E5173" w:rsidRPr="006E5173" w:rsidRDefault="001E3202" w:rsidP="00CD393A">
      <w:r>
        <w:pict w14:anchorId="5C78A4C2">
          <v:rect id="_x0000_i1027" style="width:0;height:1.5pt" o:hrstd="t" o:hr="t" fillcolor="#a0a0a0" stroked="f"/>
        </w:pict>
      </w:r>
    </w:p>
    <w:p w14:paraId="7E599C1B" w14:textId="6794F109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3. Keeping Accurate Records for Variations</w:t>
      </w:r>
      <w:r w:rsidR="00C527D3">
        <w:rPr>
          <w:b/>
          <w:bCs/>
        </w:rPr>
        <w:t xml:space="preserve"> – refer also to PN 2</w:t>
      </w:r>
    </w:p>
    <w:p w14:paraId="58277195" w14:textId="77777777" w:rsidR="006A151F" w:rsidRDefault="006E5173" w:rsidP="00CD393A">
      <w:r w:rsidRPr="006E5173">
        <w:t xml:space="preserve">Maintaining proper records </w:t>
      </w:r>
      <w:r w:rsidRPr="006E5173">
        <w:rPr>
          <w:b/>
          <w:bCs/>
        </w:rPr>
        <w:t>ensures variation claims are substantiated</w:t>
      </w:r>
      <w:r w:rsidRPr="006E5173">
        <w:t>. The following records should be maintained:</w:t>
      </w:r>
    </w:p>
    <w:p w14:paraId="523F5037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A </w:t>
      </w:r>
      <w:r w:rsidRPr="006A151F">
        <w:rPr>
          <w:b/>
          <w:bCs/>
        </w:rPr>
        <w:t>log of all variation requests</w:t>
      </w:r>
      <w:r w:rsidRPr="006E5173">
        <w:t xml:space="preserve"> with request and response dates.</w:t>
      </w:r>
    </w:p>
    <w:p w14:paraId="6C16CCD0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A </w:t>
      </w:r>
      <w:r w:rsidRPr="006A151F">
        <w:rPr>
          <w:b/>
          <w:bCs/>
        </w:rPr>
        <w:t>tracker for site instructions (SIs)</w:t>
      </w:r>
      <w:r w:rsidRPr="006E5173">
        <w:t xml:space="preserve"> received and whether they were in writing.</w:t>
      </w:r>
    </w:p>
    <w:p w14:paraId="748BFF06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A151F">
        <w:rPr>
          <w:b/>
          <w:bCs/>
        </w:rPr>
        <w:t>Photographic and video evidence</w:t>
      </w:r>
      <w:r w:rsidRPr="006E5173">
        <w:t xml:space="preserve"> of the work before, during, and after completion.</w:t>
      </w:r>
    </w:p>
    <w:p w14:paraId="44011DBF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A151F">
        <w:rPr>
          <w:b/>
          <w:bCs/>
        </w:rPr>
        <w:t>Labour, material, and time records</w:t>
      </w:r>
      <w:r w:rsidRPr="006E5173">
        <w:t xml:space="preserve"> for all additional work.</w:t>
      </w:r>
    </w:p>
    <w:p w14:paraId="4EC6A2E1" w14:textId="1BB9DA87" w:rsidR="006E5173" w:rsidRPr="006E5173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Regular </w:t>
      </w:r>
      <w:r w:rsidRPr="006A151F">
        <w:rPr>
          <w:b/>
          <w:bCs/>
        </w:rPr>
        <w:t>correspondence with the contractor’s QS</w:t>
      </w:r>
      <w:r w:rsidRPr="006E5173">
        <w:t xml:space="preserve"> to ensure agreement on variation costs.</w:t>
      </w:r>
    </w:p>
    <w:p w14:paraId="3563814F" w14:textId="41E946F5" w:rsidR="006E5173" w:rsidRPr="006E5173" w:rsidRDefault="006E5173" w:rsidP="00CD393A">
      <w:r w:rsidRPr="006E5173">
        <w:rPr>
          <w:b/>
          <w:bCs/>
        </w:rPr>
        <w:t>Tip:</w:t>
      </w:r>
      <w:r w:rsidRPr="006E5173">
        <w:t xml:space="preserve"> Agree on variations </w:t>
      </w:r>
      <w:r w:rsidRPr="006E5173">
        <w:rPr>
          <w:b/>
          <w:bCs/>
        </w:rPr>
        <w:t>as they occur</w:t>
      </w:r>
      <w:r w:rsidRPr="006E5173">
        <w:t xml:space="preserve"> rather than leaving disputes until the final account stage.</w:t>
      </w:r>
    </w:p>
    <w:p w14:paraId="456478EF" w14:textId="77777777" w:rsidR="006E5173" w:rsidRPr="006E5173" w:rsidRDefault="001E3202" w:rsidP="00CD393A">
      <w:r>
        <w:pict w14:anchorId="1B558E08">
          <v:rect id="_x0000_i1028" style="width:0;height:1.5pt" o:hrstd="t" o:hr="t" fillcolor="#a0a0a0" stroked="f"/>
        </w:pict>
      </w:r>
    </w:p>
    <w:p w14:paraId="3A803C5F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4. Handling Disputes Over Variations</w:t>
      </w:r>
    </w:p>
    <w:p w14:paraId="1B322EB3" w14:textId="77777777" w:rsidR="006A151F" w:rsidRDefault="006E5173" w:rsidP="00CD393A">
      <w:r w:rsidRPr="006E5173">
        <w:t xml:space="preserve">If an </w:t>
      </w:r>
      <w:r w:rsidRPr="006E5173">
        <w:rPr>
          <w:b/>
          <w:bCs/>
        </w:rPr>
        <w:t>instruction is disputed</w:t>
      </w:r>
      <w:r w:rsidRPr="006E5173">
        <w:t>, or if the contractor refuses to issue a variation order:</w:t>
      </w:r>
    </w:p>
    <w:p w14:paraId="25ACE9C4" w14:textId="77777777" w:rsidR="006A151F" w:rsidRDefault="006E5173" w:rsidP="00CD393A">
      <w:pPr>
        <w:pStyle w:val="ListParagraph"/>
        <w:numPr>
          <w:ilvl w:val="0"/>
          <w:numId w:val="5"/>
        </w:numPr>
      </w:pPr>
      <w:r w:rsidRPr="006A151F">
        <w:rPr>
          <w:b/>
          <w:bCs/>
        </w:rPr>
        <w:t>Red flag the issue</w:t>
      </w:r>
      <w:r w:rsidRPr="006E5173">
        <w:t xml:space="preserve"> and document the request.</w:t>
      </w:r>
    </w:p>
    <w:p w14:paraId="27E2C645" w14:textId="77777777" w:rsidR="006A151F" w:rsidRDefault="006E5173" w:rsidP="00CD393A">
      <w:pPr>
        <w:pStyle w:val="ListParagraph"/>
        <w:numPr>
          <w:ilvl w:val="0"/>
          <w:numId w:val="5"/>
        </w:numPr>
      </w:pPr>
      <w:r w:rsidRPr="006A151F">
        <w:rPr>
          <w:b/>
          <w:bCs/>
        </w:rPr>
        <w:t>Request an official instruction</w:t>
      </w:r>
      <w:r w:rsidRPr="006E5173">
        <w:t xml:space="preserve"> allowing the work to proceed, pending valuation under the contract.</w:t>
      </w:r>
    </w:p>
    <w:p w14:paraId="6498D04B" w14:textId="5491F254" w:rsidR="006E5173" w:rsidRDefault="006E5173" w:rsidP="00CD393A">
      <w:pPr>
        <w:pStyle w:val="ListParagraph"/>
        <w:numPr>
          <w:ilvl w:val="0"/>
          <w:numId w:val="5"/>
        </w:numPr>
        <w:rPr>
          <w:b/>
          <w:bCs/>
        </w:rPr>
      </w:pPr>
      <w:r w:rsidRPr="006A151F">
        <w:rPr>
          <w:b/>
          <w:bCs/>
        </w:rPr>
        <w:t>If no resolution is reached</w:t>
      </w:r>
      <w:r w:rsidRPr="006E5173">
        <w:t xml:space="preserve">, consider </w:t>
      </w:r>
      <w:r w:rsidRPr="006A151F">
        <w:rPr>
          <w:b/>
          <w:bCs/>
        </w:rPr>
        <w:t>alternative dispute resolution (ADR)</w:t>
      </w:r>
      <w:r w:rsidRPr="006E5173">
        <w:t xml:space="preserve"> options, such as the </w:t>
      </w:r>
      <w:r w:rsidRPr="006A151F">
        <w:rPr>
          <w:b/>
          <w:bCs/>
        </w:rPr>
        <w:t>Conflict Avoidance Process (CAP)</w:t>
      </w:r>
      <w:r w:rsidR="00C527D3">
        <w:t xml:space="preserve">, and the </w:t>
      </w:r>
      <w:r w:rsidR="00C527D3" w:rsidRPr="00C527D3">
        <w:rPr>
          <w:b/>
          <w:bCs/>
        </w:rPr>
        <w:t>Low Value Adjudication Schemes</w:t>
      </w:r>
      <w:r w:rsidR="00C527D3">
        <w:rPr>
          <w:b/>
          <w:bCs/>
        </w:rPr>
        <w:t>.</w:t>
      </w:r>
    </w:p>
    <w:p w14:paraId="1A18E53E" w14:textId="76B420B9" w:rsidR="003D1D01" w:rsidRPr="006F6E87" w:rsidRDefault="003D1D01" w:rsidP="00CD393A">
      <w:pPr>
        <w:pStyle w:val="ListParagraph"/>
        <w:numPr>
          <w:ilvl w:val="0"/>
          <w:numId w:val="5"/>
        </w:numPr>
        <w:rPr>
          <w:b/>
          <w:bCs/>
        </w:rPr>
      </w:pPr>
      <w:r w:rsidRPr="003D1D01">
        <w:lastRenderedPageBreak/>
        <w:t xml:space="preserve">Readers should note however the provisions in the </w:t>
      </w:r>
      <w:r w:rsidRPr="006F6E87">
        <w:rPr>
          <w:b/>
          <w:bCs/>
        </w:rPr>
        <w:t xml:space="preserve">JCT </w:t>
      </w:r>
      <w:r w:rsidRPr="003D1D01">
        <w:t xml:space="preserve">and </w:t>
      </w:r>
      <w:r w:rsidRPr="006F6E87">
        <w:rPr>
          <w:b/>
          <w:bCs/>
        </w:rPr>
        <w:t>SBBC Contracts</w:t>
      </w:r>
      <w:r w:rsidRPr="003D1D01">
        <w:t xml:space="preserve"> in </w:t>
      </w:r>
      <w:r w:rsidRPr="006F6E87">
        <w:rPr>
          <w:b/>
          <w:bCs/>
        </w:rPr>
        <w:t>Schedule Part 2</w:t>
      </w:r>
      <w:r w:rsidRPr="003D1D01">
        <w:t xml:space="preserve">, which relates to </w:t>
      </w:r>
      <w:r w:rsidRPr="006F6E87">
        <w:rPr>
          <w:b/>
          <w:bCs/>
        </w:rPr>
        <w:t>Clause 5.3</w:t>
      </w:r>
      <w:r w:rsidRPr="003D1D01">
        <w:t xml:space="preserve"> in the Contract, which allows for a </w:t>
      </w:r>
      <w:r w:rsidRPr="006F6E87">
        <w:rPr>
          <w:b/>
          <w:bCs/>
        </w:rPr>
        <w:t>Variation Quotation</w:t>
      </w:r>
      <w:r w:rsidRPr="003D1D01">
        <w:t xml:space="preserve"> to be submitted, and this will include the direct loss and</w:t>
      </w:r>
      <w:r w:rsidRPr="006F6E87">
        <w:rPr>
          <w:b/>
          <w:bCs/>
        </w:rPr>
        <w:t xml:space="preserve"> </w:t>
      </w:r>
      <w:r w:rsidRPr="003D1D01">
        <w:t>expense to be incurred. This brings cost certainty to the employer, and the contractor, and goes a long way to eliminate payment disputes.</w:t>
      </w:r>
    </w:p>
    <w:p w14:paraId="557BA789" w14:textId="77777777" w:rsidR="006E5173" w:rsidRPr="006E5173" w:rsidRDefault="001E3202" w:rsidP="00CD393A">
      <w:r>
        <w:pict w14:anchorId="3C367D6E">
          <v:rect id="_x0000_i1029" style="width:0;height:1.5pt" o:hrstd="t" o:hr="t" fillcolor="#a0a0a0" stroked="f"/>
        </w:pict>
      </w:r>
    </w:p>
    <w:p w14:paraId="03D707E4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5. Final Advice</w:t>
      </w:r>
    </w:p>
    <w:p w14:paraId="32353AF0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Be proactive in managing variations</w:t>
      </w:r>
      <w:r w:rsidRPr="006E5173">
        <w:t>—do not wait until the final account stage.</w:t>
      </w:r>
    </w:p>
    <w:p w14:paraId="1DB1B995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Always insist on written instructions</w:t>
      </w:r>
      <w:r w:rsidRPr="006E5173">
        <w:t>—verbal agreements are not enforceable.</w:t>
      </w:r>
    </w:p>
    <w:p w14:paraId="27A492A3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Keep detailed records</w:t>
      </w:r>
      <w:r w:rsidRPr="006E5173">
        <w:t>—this will strengthen any claims for additional payment.</w:t>
      </w:r>
    </w:p>
    <w:p w14:paraId="6B56767D" w14:textId="3BA442D4" w:rsidR="006E5173" w:rsidRPr="006E5173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Communicate regularly with the contractor’s QS</w:t>
      </w:r>
      <w:r w:rsidRPr="006E5173">
        <w:t>—avoid last-minute disputes.</w:t>
      </w:r>
    </w:p>
    <w:p w14:paraId="6F0C903E" w14:textId="77777777" w:rsidR="006E5173" w:rsidRPr="006E5173" w:rsidRDefault="006E5173" w:rsidP="00CD393A">
      <w:r w:rsidRPr="006E5173">
        <w:t xml:space="preserve">By implementing these best practices, contractors and subcontractors can ensure </w:t>
      </w:r>
      <w:r w:rsidRPr="006E5173">
        <w:rPr>
          <w:b/>
          <w:bCs/>
        </w:rPr>
        <w:t>clarity, fair compensation, and effective commercial management</w:t>
      </w:r>
      <w:r w:rsidRPr="006E5173">
        <w:t xml:space="preserve"> while minimising disputes.</w:t>
      </w:r>
    </w:p>
    <w:p w14:paraId="50069E06" w14:textId="77777777" w:rsidR="006E5173" w:rsidRPr="006E5173" w:rsidRDefault="001E3202" w:rsidP="00CD393A">
      <w:r>
        <w:pict w14:anchorId="1176CB77">
          <v:rect id="_x0000_i1030" style="width:0;height:1.5pt" o:hrstd="t" o:hr="t" fillcolor="#a0a0a0" stroked="f"/>
        </w:pict>
      </w:r>
    </w:p>
    <w:p w14:paraId="28E91DA1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Joint Authors:</w:t>
      </w:r>
    </w:p>
    <w:p w14:paraId="12226DFA" w14:textId="2F121119" w:rsidR="006E5173" w:rsidRDefault="006E5173" w:rsidP="00CD393A">
      <w:r w:rsidRPr="006E5173">
        <w:rPr>
          <w:b/>
          <w:bCs/>
        </w:rPr>
        <w:t>Len Bunton</w:t>
      </w:r>
      <w:r w:rsidRPr="006E5173">
        <w:t xml:space="preserve"> – len@buntonconsulting.co.uk</w:t>
      </w:r>
      <w:r w:rsidRPr="006E5173">
        <w:br/>
      </w:r>
      <w:r w:rsidRPr="006E5173">
        <w:rPr>
          <w:b/>
          <w:bCs/>
        </w:rPr>
        <w:t>Sean Bradley</w:t>
      </w:r>
      <w:r w:rsidRPr="006E5173">
        <w:t xml:space="preserve"> – sean@seanbradleyconsultancy.co.uk</w:t>
      </w:r>
      <w:r w:rsidRPr="006E5173">
        <w:br/>
      </w:r>
      <w:r w:rsidRPr="006E5173">
        <w:rPr>
          <w:b/>
          <w:bCs/>
        </w:rPr>
        <w:t>Mark Holden-Smith</w:t>
      </w:r>
      <w:r w:rsidRPr="006E5173">
        <w:t xml:space="preserve"> – </w:t>
      </w:r>
      <w:hyperlink r:id="rId11" w:history="1">
        <w:r w:rsidR="00C527D3" w:rsidRPr="00B14EE9">
          <w:rPr>
            <w:rStyle w:val="Hyperlink"/>
          </w:rPr>
          <w:t>mark@holden-smith.com</w:t>
        </w:r>
      </w:hyperlink>
    </w:p>
    <w:p w14:paraId="0AEA8340" w14:textId="5523E130" w:rsidR="009C54EA" w:rsidRDefault="009C54EA">
      <w:pPr>
        <w:rPr>
          <w:b/>
          <w:bCs/>
        </w:rPr>
      </w:pPr>
      <w:r>
        <w:rPr>
          <w:b/>
          <w:bCs/>
        </w:rPr>
        <w:br w:type="page"/>
      </w:r>
    </w:p>
    <w:p w14:paraId="5C82D829" w14:textId="2EBCD87B" w:rsidR="006E5173" w:rsidRDefault="009C54EA" w:rsidP="00CD393A"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28A8E871" wp14:editId="214A75B3">
            <wp:simplePos x="0" y="0"/>
            <wp:positionH relativeFrom="column">
              <wp:posOffset>-899410</wp:posOffset>
            </wp:positionH>
            <wp:positionV relativeFrom="paragraph">
              <wp:posOffset>-1178810</wp:posOffset>
            </wp:positionV>
            <wp:extent cx="7543799" cy="10668675"/>
            <wp:effectExtent l="0" t="0" r="635" b="0"/>
            <wp:wrapNone/>
            <wp:docPr id="24871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197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17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B690" w14:textId="77777777" w:rsidR="00206B25" w:rsidRDefault="00206B25" w:rsidP="0055089E">
      <w:pPr>
        <w:spacing w:after="0" w:line="240" w:lineRule="auto"/>
      </w:pPr>
      <w:r>
        <w:separator/>
      </w:r>
    </w:p>
  </w:endnote>
  <w:endnote w:type="continuationSeparator" w:id="0">
    <w:p w14:paraId="67A8B59E" w14:textId="77777777" w:rsidR="00206B25" w:rsidRDefault="00206B25" w:rsidP="0055089E">
      <w:pPr>
        <w:spacing w:after="0" w:line="240" w:lineRule="auto"/>
      </w:pPr>
      <w:r>
        <w:continuationSeparator/>
      </w:r>
    </w:p>
  </w:endnote>
  <w:endnote w:type="continuationNotice" w:id="1">
    <w:p w14:paraId="632253CD" w14:textId="77777777" w:rsidR="002712BE" w:rsidRDefault="00271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7732" w14:textId="191B7242" w:rsidR="008F2C65" w:rsidRDefault="008F2C6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FB1409" wp14:editId="35101EA8">
              <wp:simplePos x="0" y="0"/>
              <wp:positionH relativeFrom="column">
                <wp:posOffset>3924300</wp:posOffset>
              </wp:positionH>
              <wp:positionV relativeFrom="paragraph">
                <wp:posOffset>-90805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1A786A" id="Group 3" o:spid="_x0000_s1026" style="position:absolute;margin-left:309pt;margin-top:-7.15pt;width:153.65pt;height:46.8pt;z-index:-251658240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sPgaWeIAAAAKAQAADwAAAGRycy9kb3ducmV2LnhtbEyPQU/CQBCF7yb+h82YeIPtUkGonRJC&#10;1BMhEUyMt6Ud2obubNNd2vLvXU96e5P38uZ76Xo0jeipc7VlBDWNQBDntqi5RPg8vk2WIJzXXOjG&#10;MiHcyME6u79LdVLYgT+oP/hShBJ2iUaovG8TKV1ekdFualvi4J1tZ7QPZ1fKotNDKDeNnEXRQhpd&#10;c/hQ6Za2FeWXw9UgvA962MTqtd9dztvb93G+/9opQnx8GDcvIDyN/i8Mv/gBHbLAdLJXLpxoEBZq&#10;GbZ4hIl6ikGExGo2D+KE8LyKQWap/D8h+wEAAP//AwBQSwMEFAAGAAgAAAAhAJ9VK+AGAQAA/gIA&#10;ABkAAABkcnMvX3JlbHMvZTJvRG9jLnhtbC5yZWxztJLNTgMhFEb3Jr4DYe8AUzW1KVNT2yZduDH1&#10;AQjcYdDhJ4CmfXvRbqZJm8bFLIHc8518l/lib3v0DTEZ7zhmFcUInPTKOM3x+25zN8UoZeGU6L0D&#10;jg+Q8KK5vZm/QS9yGUqdCQkVikscdzmHGSFJdmBFqnwAV15aH63I5Rg1CUJ+Cg2kpvSRxCEDNydM&#10;tFUcx62aYLQ7hJJ8ne3b1khYefllweUzEcTYkl2AImrIHFtQRhwv6+ojgMbkvEQ9ooQ0avbnRemk&#10;Ck4/U7ZaTmu2rJYvD0/rTV1WchR+9ar0sN5niE70l1zZiK6Dwtiv6yWH+xEdBn2xsrR/9UVOfm3z&#10;AwAA//8DAFBLAQItABQABgAIAAAAIQDQ4HPPFAEAAEcCAAATAAAAAAAAAAAAAAAAAAAAAABbQ29u&#10;dGVudF9UeXBlc10ueG1sUEsBAi0AFAAGAAgAAAAhADj9If/WAAAAlAEAAAsAAAAAAAAAAAAAAAAA&#10;RQEAAF9yZWxzLy5yZWxzUEsBAi0AFAAGAAgAAAAhAJtp6G/oAgAAeQgAAA4AAAAAAAAAAAAAAAAA&#10;RAIAAGRycy9lMm9Eb2MueG1sUEsBAi0ACgAAAAAAAAAhALkx4OLqLwAA6i8AABQAAAAAAAAAAAAA&#10;AAAAWAUAAGRycy9tZWRpYS9pbWFnZTEucG5nUEsBAi0ACgAAAAAAAAAhAOK1ukf9CwAA/QsAABUA&#10;AAAAAAAAAAAAAAAAdDUAAGRycy9tZWRpYS9pbWFnZTIuanBlZ1BLAQItABQABgAIAAAAIQCw+BpZ&#10;4gAAAAoBAAAPAAAAAAAAAAAAAAAAAKRBAABkcnMvZG93bnJldi54bWxQSwECLQAUAAYACAAAACEA&#10;n1Ur4AYBAAD+AgAAGQAAAAAAAAAAAAAAAACzQgAAZHJzL19yZWxzL2Uyb0RvYy54bWwucmVsc1BL&#10;BQYAAAAABwAHAL8BAADw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66E6" w14:textId="77777777" w:rsidR="00206B25" w:rsidRDefault="00206B25" w:rsidP="0055089E">
      <w:pPr>
        <w:spacing w:after="0" w:line="240" w:lineRule="auto"/>
      </w:pPr>
      <w:r>
        <w:separator/>
      </w:r>
    </w:p>
  </w:footnote>
  <w:footnote w:type="continuationSeparator" w:id="0">
    <w:p w14:paraId="1062521F" w14:textId="77777777" w:rsidR="00206B25" w:rsidRDefault="00206B25" w:rsidP="0055089E">
      <w:pPr>
        <w:spacing w:after="0" w:line="240" w:lineRule="auto"/>
      </w:pPr>
      <w:r>
        <w:continuationSeparator/>
      </w:r>
    </w:p>
  </w:footnote>
  <w:footnote w:type="continuationNotice" w:id="1">
    <w:p w14:paraId="258D3AF9" w14:textId="77777777" w:rsidR="002712BE" w:rsidRDefault="00271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4D7A" w14:textId="34D32E52" w:rsidR="009E3726" w:rsidRDefault="00B60138" w:rsidP="009E372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9A0FE10" wp14:editId="765615D9">
          <wp:simplePos x="0" y="0"/>
          <wp:positionH relativeFrom="column">
            <wp:posOffset>4689298</wp:posOffset>
          </wp:positionH>
          <wp:positionV relativeFrom="paragraph">
            <wp:posOffset>-172085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726">
      <w:rPr>
        <w:noProof/>
      </w:rPr>
      <w:t xml:space="preserve"> </w:t>
    </w:r>
    <w:r w:rsidR="009E3726">
      <w:rPr>
        <w:rFonts w:ascii="Segoe UI" w:hAnsi="Segoe UI" w:cs="Segoe UI"/>
        <w:noProof/>
        <w:sz w:val="20"/>
        <w:szCs w:val="20"/>
      </w:rPr>
      <w:t xml:space="preserve">  </w:t>
    </w:r>
    <w:r w:rsidR="009E3726">
      <w:rPr>
        <w:rFonts w:ascii="Segoe UI" w:hAnsi="Segoe UI" w:cs="Segoe UI"/>
        <w:noProof/>
        <w:sz w:val="20"/>
        <w:szCs w:val="20"/>
      </w:rPr>
      <w:tab/>
    </w:r>
    <w:r w:rsidR="009E3726">
      <w:rPr>
        <w:rFonts w:ascii="Segoe UI" w:hAnsi="Segoe UI" w:cs="Segoe UI"/>
        <w:noProof/>
        <w:sz w:val="20"/>
        <w:szCs w:val="20"/>
      </w:rPr>
      <w:tab/>
    </w:r>
  </w:p>
  <w:p w14:paraId="1E252C6F" w14:textId="0416A6F9" w:rsidR="0055089E" w:rsidRDefault="0055089E">
    <w:pPr>
      <w:pStyle w:val="Header"/>
    </w:pPr>
    <w:r>
      <w:tab/>
    </w:r>
    <w:r>
      <w:tab/>
    </w:r>
  </w:p>
  <w:p w14:paraId="60C98C4F" w14:textId="77777777" w:rsidR="009E3726" w:rsidRDefault="009E3726">
    <w:pPr>
      <w:pStyle w:val="Header"/>
    </w:pPr>
  </w:p>
  <w:p w14:paraId="5E07C275" w14:textId="77777777" w:rsidR="009E3726" w:rsidRDefault="009E3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6C5"/>
    <w:multiLevelType w:val="hybridMultilevel"/>
    <w:tmpl w:val="C892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0A2"/>
    <w:multiLevelType w:val="multilevel"/>
    <w:tmpl w:val="6BF4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94FCD"/>
    <w:multiLevelType w:val="hybridMultilevel"/>
    <w:tmpl w:val="5A8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64391"/>
    <w:multiLevelType w:val="hybridMultilevel"/>
    <w:tmpl w:val="BD4A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4EC6"/>
    <w:multiLevelType w:val="hybridMultilevel"/>
    <w:tmpl w:val="A5F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4790"/>
    <w:multiLevelType w:val="multilevel"/>
    <w:tmpl w:val="52F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292396">
    <w:abstractNumId w:val="1"/>
  </w:num>
  <w:num w:numId="2" w16cid:durableId="1369144315">
    <w:abstractNumId w:val="5"/>
  </w:num>
  <w:num w:numId="3" w16cid:durableId="376929994">
    <w:abstractNumId w:val="3"/>
  </w:num>
  <w:num w:numId="4" w16cid:durableId="548109349">
    <w:abstractNumId w:val="4"/>
  </w:num>
  <w:num w:numId="5" w16cid:durableId="476066453">
    <w:abstractNumId w:val="2"/>
  </w:num>
  <w:num w:numId="6" w16cid:durableId="186312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3"/>
    <w:rsid w:val="000326A2"/>
    <w:rsid w:val="00086D03"/>
    <w:rsid w:val="000E185C"/>
    <w:rsid w:val="00115DC1"/>
    <w:rsid w:val="00136CE7"/>
    <w:rsid w:val="00206B25"/>
    <w:rsid w:val="00223BE2"/>
    <w:rsid w:val="002712BE"/>
    <w:rsid w:val="003B4DB5"/>
    <w:rsid w:val="003D1D01"/>
    <w:rsid w:val="004E632D"/>
    <w:rsid w:val="0055089E"/>
    <w:rsid w:val="00640935"/>
    <w:rsid w:val="006A151F"/>
    <w:rsid w:val="006E5173"/>
    <w:rsid w:val="006F6E87"/>
    <w:rsid w:val="00797679"/>
    <w:rsid w:val="008D46D7"/>
    <w:rsid w:val="008F2C65"/>
    <w:rsid w:val="009C54EA"/>
    <w:rsid w:val="009E3726"/>
    <w:rsid w:val="00A87E12"/>
    <w:rsid w:val="00AA2E31"/>
    <w:rsid w:val="00B60138"/>
    <w:rsid w:val="00B65BE7"/>
    <w:rsid w:val="00B865BE"/>
    <w:rsid w:val="00BE28F2"/>
    <w:rsid w:val="00C27C58"/>
    <w:rsid w:val="00C527D3"/>
    <w:rsid w:val="00CD393A"/>
    <w:rsid w:val="00D152CE"/>
    <w:rsid w:val="00DC5C55"/>
    <w:rsid w:val="00E0717C"/>
    <w:rsid w:val="00E76A5B"/>
    <w:rsid w:val="00EE2E53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2CAE4"/>
  <w15:chartTrackingRefBased/>
  <w15:docId w15:val="{F280693F-5D92-4852-A486-6439836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1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9E"/>
  </w:style>
  <w:style w:type="paragraph" w:styleId="Footer">
    <w:name w:val="footer"/>
    <w:basedOn w:val="Normal"/>
    <w:link w:val="FooterChar"/>
    <w:uiPriority w:val="99"/>
    <w:unhideWhenUsed/>
    <w:rsid w:val="0055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9E"/>
  </w:style>
  <w:style w:type="character" w:styleId="Hyperlink">
    <w:name w:val="Hyperlink"/>
    <w:basedOn w:val="DefaultParagraphFont"/>
    <w:uiPriority w:val="99"/>
    <w:unhideWhenUsed/>
    <w:rsid w:val="00C527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@holden-smith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Props1.xml><?xml version="1.0" encoding="utf-8"?>
<ds:datastoreItem xmlns:ds="http://schemas.openxmlformats.org/officeDocument/2006/customXml" ds:itemID="{0BB4D3CE-758A-4C31-AB56-0E66FE69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F3F1C-018F-49FA-9AC9-73B0D2A1D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1EAE7-0169-440C-81FD-CFC7D2CBAFEA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20</cp:revision>
  <dcterms:created xsi:type="dcterms:W3CDTF">2025-02-23T09:52:00Z</dcterms:created>
  <dcterms:modified xsi:type="dcterms:W3CDTF">2025-03-10T10:27:00Z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